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4A2B" w14:textId="77777777" w:rsidR="00F5013D" w:rsidRPr="00D1742A" w:rsidRDefault="00F5013D" w:rsidP="00F5013D">
      <w:pPr>
        <w:pStyle w:val="Ttulo2"/>
        <w:jc w:val="center"/>
        <w:rPr>
          <w:rFonts w:ascii="Calibri" w:eastAsia="Calibri" w:hAnsi="Calibri" w:cs="Calibri"/>
          <w:sz w:val="28"/>
          <w:szCs w:val="28"/>
        </w:rPr>
      </w:pPr>
      <w:r w:rsidRPr="00D1742A">
        <w:rPr>
          <w:rFonts w:ascii="Calibri" w:eastAsia="Calibri" w:hAnsi="Calibri" w:cs="Calibri"/>
          <w:sz w:val="28"/>
          <w:szCs w:val="28"/>
        </w:rPr>
        <w:t>REPORTE DE AVANCE</w:t>
      </w:r>
    </w:p>
    <w:p w14:paraId="1CF33122" w14:textId="77777777" w:rsidR="00F5013D" w:rsidRPr="00D1742A" w:rsidRDefault="00F5013D" w:rsidP="00F5013D">
      <w:pPr>
        <w:pStyle w:val="Ttulo2"/>
        <w:jc w:val="center"/>
        <w:rPr>
          <w:rFonts w:ascii="Calibri" w:eastAsia="Calibri" w:hAnsi="Calibri" w:cs="Calibri"/>
          <w:sz w:val="24"/>
          <w:szCs w:val="24"/>
        </w:rPr>
      </w:pPr>
      <w:r w:rsidRPr="00D1742A">
        <w:rPr>
          <w:rFonts w:ascii="Calibri" w:eastAsia="Calibri" w:hAnsi="Calibri" w:cs="Calibri"/>
          <w:sz w:val="24"/>
          <w:szCs w:val="24"/>
        </w:rPr>
        <w:t>V Plan de Acción de Gobierno Abierto</w:t>
      </w:r>
    </w:p>
    <w:p w14:paraId="38B0B334" w14:textId="4DBE0EC1" w:rsidR="00F5013D" w:rsidRPr="00D1742A" w:rsidRDefault="00F5013D" w:rsidP="00F5013D">
      <w:pPr>
        <w:pStyle w:val="Ttulo2"/>
        <w:jc w:val="center"/>
        <w:rPr>
          <w:rFonts w:ascii="Calibri" w:eastAsia="Calibri" w:hAnsi="Calibri" w:cs="Calibri"/>
          <w:sz w:val="24"/>
          <w:szCs w:val="24"/>
        </w:rPr>
      </w:pPr>
      <w:r>
        <w:rPr>
          <w:rFonts w:ascii="Calibri" w:eastAsia="Calibri" w:hAnsi="Calibri" w:cs="Calibri"/>
          <w:sz w:val="24"/>
          <w:szCs w:val="24"/>
        </w:rPr>
        <w:t>Julio</w:t>
      </w:r>
      <w:r w:rsidRPr="00D1742A">
        <w:rPr>
          <w:rFonts w:ascii="Calibri" w:eastAsia="Calibri" w:hAnsi="Calibri" w:cs="Calibri"/>
          <w:sz w:val="24"/>
          <w:szCs w:val="24"/>
        </w:rPr>
        <w:t xml:space="preserve"> 2022</w:t>
      </w:r>
    </w:p>
    <w:p w14:paraId="6DD7A12A" w14:textId="77777777" w:rsidR="00F5013D" w:rsidRPr="00C10332" w:rsidRDefault="00F5013D" w:rsidP="00F5013D">
      <w:pPr>
        <w:rPr>
          <w:rFonts w:asciiTheme="majorHAnsi" w:hAnsiTheme="majorHAnsi" w:cstheme="majorHAnsi"/>
          <w:b/>
          <w:color w:val="4F81BD"/>
          <w:sz w:val="20"/>
          <w:szCs w:val="20"/>
          <w:u w:val="single"/>
        </w:rPr>
      </w:pPr>
      <w:r w:rsidRPr="00C10332">
        <w:rPr>
          <w:rFonts w:asciiTheme="majorHAnsi" w:hAnsiTheme="majorHAnsi" w:cstheme="majorHAnsi"/>
          <w:b/>
          <w:color w:val="4F81BD"/>
          <w:sz w:val="20"/>
          <w:szCs w:val="20"/>
          <w:u w:val="single"/>
        </w:rPr>
        <w:t>Consideraciones generales</w:t>
      </w:r>
    </w:p>
    <w:p w14:paraId="044EA8D8" w14:textId="77777777" w:rsidR="00F5013D" w:rsidRPr="00C10332" w:rsidRDefault="00F5013D" w:rsidP="00F5013D">
      <w:pPr>
        <w:pStyle w:val="Prrafodelista"/>
        <w:numPr>
          <w:ilvl w:val="0"/>
          <w:numId w:val="1"/>
        </w:numPr>
        <w:jc w:val="both"/>
        <w:rPr>
          <w:rFonts w:asciiTheme="majorHAnsi" w:hAnsiTheme="majorHAnsi" w:cstheme="majorHAnsi"/>
          <w:bCs/>
          <w:color w:val="4F81BD"/>
          <w:sz w:val="20"/>
          <w:szCs w:val="20"/>
        </w:rPr>
      </w:pPr>
      <w:r w:rsidRPr="00C10332">
        <w:rPr>
          <w:rFonts w:asciiTheme="majorHAnsi" w:hAnsiTheme="majorHAnsi" w:cstheme="majorHAnsi"/>
          <w:bCs/>
          <w:color w:val="4F81BD"/>
          <w:sz w:val="20"/>
          <w:szCs w:val="20"/>
        </w:rPr>
        <w:t>El reporte sobre el avance de los compromisos es responsabilidad de cada institución.</w:t>
      </w:r>
    </w:p>
    <w:p w14:paraId="58B01F30" w14:textId="77777777" w:rsidR="00F5013D" w:rsidRPr="00C10332" w:rsidRDefault="00F5013D" w:rsidP="00F5013D">
      <w:pPr>
        <w:pStyle w:val="Prrafodelista"/>
        <w:numPr>
          <w:ilvl w:val="0"/>
          <w:numId w:val="1"/>
        </w:numPr>
        <w:jc w:val="both"/>
        <w:rPr>
          <w:rFonts w:asciiTheme="majorHAnsi" w:hAnsiTheme="majorHAnsi" w:cstheme="majorHAnsi"/>
          <w:bCs/>
          <w:color w:val="4F81BD"/>
          <w:sz w:val="20"/>
          <w:szCs w:val="20"/>
        </w:rPr>
      </w:pPr>
      <w:r w:rsidRPr="00C10332">
        <w:rPr>
          <w:rFonts w:asciiTheme="majorHAnsi" w:hAnsiTheme="majorHAnsi" w:cstheme="majorHAnsi"/>
          <w:bCs/>
          <w:color w:val="4F81BD"/>
          <w:sz w:val="20"/>
          <w:szCs w:val="20"/>
        </w:rPr>
        <w:t xml:space="preserve">Cada servicio deberá enviar la información a la Comisión de Integridad Pública y Transparencia, organismo que se encargará de cargar los datos en </w:t>
      </w:r>
      <w:hyperlink r:id="rId7" w:history="1">
        <w:r w:rsidRPr="00C10332">
          <w:rPr>
            <w:rFonts w:asciiTheme="majorHAnsi" w:hAnsiTheme="majorHAnsi" w:cstheme="majorHAnsi"/>
            <w:bCs/>
            <w:color w:val="4F81BD"/>
            <w:sz w:val="20"/>
            <w:szCs w:val="20"/>
          </w:rPr>
          <w:t>www.ogp.gob.cl</w:t>
        </w:r>
      </w:hyperlink>
      <w:r w:rsidRPr="00C10332">
        <w:rPr>
          <w:rFonts w:asciiTheme="majorHAnsi" w:hAnsiTheme="majorHAnsi" w:cstheme="majorHAnsi"/>
          <w:bCs/>
          <w:color w:val="4F81BD"/>
          <w:sz w:val="20"/>
          <w:szCs w:val="20"/>
        </w:rPr>
        <w:t xml:space="preserve"> </w:t>
      </w:r>
    </w:p>
    <w:p w14:paraId="77A96188" w14:textId="77777777" w:rsidR="00F5013D" w:rsidRPr="00C10332" w:rsidRDefault="00F5013D" w:rsidP="00F5013D">
      <w:pPr>
        <w:pStyle w:val="Prrafodelista"/>
        <w:numPr>
          <w:ilvl w:val="0"/>
          <w:numId w:val="1"/>
        </w:numPr>
        <w:jc w:val="both"/>
        <w:rPr>
          <w:rFonts w:asciiTheme="majorHAnsi" w:hAnsiTheme="majorHAnsi" w:cstheme="majorHAnsi"/>
          <w:bCs/>
          <w:color w:val="4F81BD"/>
          <w:sz w:val="20"/>
          <w:szCs w:val="20"/>
        </w:rPr>
      </w:pPr>
      <w:r w:rsidRPr="00C10332">
        <w:rPr>
          <w:rFonts w:asciiTheme="majorHAnsi" w:hAnsiTheme="majorHAnsi" w:cstheme="majorHAnsi"/>
          <w:bCs/>
          <w:color w:val="4F81BD"/>
          <w:sz w:val="20"/>
          <w:szCs w:val="20"/>
        </w:rPr>
        <w:t xml:space="preserve">La información que se debe reportar es por cada hito establecido en la categoría “Actividad o producto entregable”. </w:t>
      </w:r>
    </w:p>
    <w:p w14:paraId="380F8A3B" w14:textId="77777777" w:rsidR="00F5013D" w:rsidRPr="00C10332" w:rsidRDefault="00F5013D" w:rsidP="00F5013D">
      <w:pPr>
        <w:pStyle w:val="Prrafodelista"/>
        <w:numPr>
          <w:ilvl w:val="0"/>
          <w:numId w:val="1"/>
        </w:numPr>
        <w:jc w:val="both"/>
        <w:rPr>
          <w:rFonts w:asciiTheme="majorHAnsi" w:hAnsiTheme="majorHAnsi" w:cstheme="majorHAnsi"/>
          <w:bCs/>
          <w:color w:val="4F81BD"/>
          <w:sz w:val="20"/>
          <w:szCs w:val="20"/>
        </w:rPr>
      </w:pPr>
      <w:r w:rsidRPr="00C10332">
        <w:rPr>
          <w:rFonts w:asciiTheme="majorHAnsi" w:hAnsiTheme="majorHAnsi" w:cstheme="majorHAnsi"/>
          <w:bCs/>
          <w:color w:val="4F81BD"/>
          <w:sz w:val="20"/>
          <w:szCs w:val="20"/>
        </w:rPr>
        <w:t xml:space="preserve">En cada reporte se debe identificar </w:t>
      </w:r>
      <w:r w:rsidRPr="00827D66">
        <w:rPr>
          <w:rFonts w:asciiTheme="majorHAnsi" w:hAnsiTheme="majorHAnsi" w:cstheme="majorHAnsi"/>
          <w:bCs/>
          <w:color w:val="4F81BD"/>
          <w:sz w:val="20"/>
          <w:szCs w:val="20"/>
        </w:rPr>
        <w:t>claramente las fechas en que se ejecutó y</w:t>
      </w:r>
      <w:r w:rsidRPr="00C10332">
        <w:rPr>
          <w:rFonts w:asciiTheme="majorHAnsi" w:hAnsiTheme="majorHAnsi" w:cstheme="majorHAnsi"/>
          <w:bCs/>
          <w:color w:val="4F81BD"/>
          <w:sz w:val="20"/>
          <w:szCs w:val="20"/>
        </w:rPr>
        <w:t xml:space="preserve"> en que se completó el hito. Si las fechas de cumplimiento son distintas a las comprometidas originalmente, esto se debe informar y justificar los motivos de su retraso con el fin de identificar los desafíos internos de cada servicio.  </w:t>
      </w:r>
    </w:p>
    <w:p w14:paraId="4736BB98" w14:textId="77777777" w:rsidR="00F5013D" w:rsidRPr="00C10332" w:rsidRDefault="00F5013D" w:rsidP="00F5013D">
      <w:pPr>
        <w:pStyle w:val="Prrafodelista"/>
        <w:numPr>
          <w:ilvl w:val="0"/>
          <w:numId w:val="1"/>
        </w:numPr>
        <w:jc w:val="both"/>
        <w:rPr>
          <w:rFonts w:asciiTheme="majorHAnsi" w:hAnsiTheme="majorHAnsi" w:cstheme="majorHAnsi"/>
          <w:bCs/>
          <w:color w:val="4F81BD"/>
          <w:sz w:val="20"/>
          <w:szCs w:val="20"/>
        </w:rPr>
      </w:pPr>
      <w:r w:rsidRPr="00C10332">
        <w:rPr>
          <w:rFonts w:asciiTheme="majorHAnsi" w:hAnsiTheme="majorHAnsi" w:cstheme="majorHAnsi"/>
          <w:bCs/>
          <w:color w:val="4F81BD"/>
          <w:sz w:val="20"/>
          <w:szCs w:val="20"/>
        </w:rPr>
        <w:t xml:space="preserve">Cada hito debe contar con medios de verificación que garanticen su cumplimiento. Estos pueden ser informes, reportes, resoluciones, decretos, páginas web o plataformas, noticias, fotografías, entre otros. </w:t>
      </w:r>
    </w:p>
    <w:p w14:paraId="19C79EF9" w14:textId="77777777" w:rsidR="00F5013D" w:rsidRPr="00031BE4" w:rsidRDefault="00F5013D" w:rsidP="00F5013D">
      <w:pPr>
        <w:jc w:val="both"/>
        <w:rPr>
          <w:rFonts w:asciiTheme="majorHAnsi" w:hAnsiTheme="majorHAnsi" w:cstheme="majorHAnsi"/>
          <w:b/>
          <w:color w:val="4F81BD"/>
          <w:sz w:val="20"/>
          <w:szCs w:val="20"/>
          <w:u w:val="single"/>
        </w:rPr>
      </w:pPr>
      <w:r w:rsidRPr="00C10332">
        <w:rPr>
          <w:rFonts w:asciiTheme="majorHAnsi" w:hAnsiTheme="majorHAnsi" w:cstheme="majorHAnsi"/>
          <w:b/>
          <w:color w:val="4F81BD"/>
          <w:sz w:val="20"/>
          <w:szCs w:val="20"/>
          <w:u w:val="single"/>
        </w:rPr>
        <w:t>Niveles de cumplimiento</w:t>
      </w:r>
      <w:r>
        <w:rPr>
          <w:rFonts w:asciiTheme="majorHAnsi" w:hAnsiTheme="majorHAnsi" w:cstheme="majorHAnsi"/>
          <w:bCs/>
          <w:color w:val="4F81BD"/>
          <w:sz w:val="20"/>
          <w:szCs w:val="20"/>
        </w:rPr>
        <w:tab/>
      </w:r>
      <w:r>
        <w:rPr>
          <w:rFonts w:asciiTheme="majorHAnsi" w:hAnsiTheme="majorHAnsi" w:cstheme="majorHAnsi"/>
          <w:bCs/>
          <w:color w:val="4F81BD"/>
          <w:sz w:val="20"/>
          <w:szCs w:val="20"/>
        </w:rPr>
        <w:tab/>
      </w:r>
      <w:r>
        <w:rPr>
          <w:rFonts w:asciiTheme="majorHAnsi" w:hAnsiTheme="majorHAnsi" w:cstheme="majorHAnsi"/>
          <w:bCs/>
          <w:color w:val="4F81BD"/>
          <w:sz w:val="20"/>
          <w:szCs w:val="20"/>
        </w:rPr>
        <w:tab/>
      </w: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1701"/>
        <w:gridCol w:w="5184"/>
      </w:tblGrid>
      <w:tr w:rsidR="00F5013D" w:rsidRPr="00402640" w14:paraId="0F9E5E61" w14:textId="77777777" w:rsidTr="004E671A">
        <w:tc>
          <w:tcPr>
            <w:tcW w:w="2093" w:type="dxa"/>
          </w:tcPr>
          <w:p w14:paraId="1A2A6763" w14:textId="77777777" w:rsidR="00F5013D" w:rsidRPr="00C10332" w:rsidRDefault="00F5013D" w:rsidP="004E671A">
            <w:pPr>
              <w:jc w:val="center"/>
              <w:rPr>
                <w:rFonts w:ascii="Calibri Light" w:hAnsi="Calibri Light" w:cs="Calibri Light"/>
                <w:b/>
                <w:sz w:val="20"/>
                <w:szCs w:val="20"/>
              </w:rPr>
            </w:pPr>
            <w:r w:rsidRPr="00C10332">
              <w:rPr>
                <w:rFonts w:ascii="Calibri Light" w:hAnsi="Calibri Light" w:cs="Calibri Light"/>
                <w:b/>
                <w:sz w:val="20"/>
                <w:szCs w:val="20"/>
              </w:rPr>
              <w:t>Categoría</w:t>
            </w:r>
          </w:p>
        </w:tc>
        <w:tc>
          <w:tcPr>
            <w:tcW w:w="1701" w:type="dxa"/>
          </w:tcPr>
          <w:p w14:paraId="67CD0BE4" w14:textId="77777777" w:rsidR="00F5013D" w:rsidRPr="00C10332" w:rsidRDefault="00F5013D" w:rsidP="004E671A">
            <w:pPr>
              <w:jc w:val="center"/>
              <w:rPr>
                <w:rFonts w:ascii="Calibri Light" w:hAnsi="Calibri Light" w:cs="Calibri Light"/>
                <w:b/>
                <w:sz w:val="20"/>
                <w:szCs w:val="20"/>
              </w:rPr>
            </w:pPr>
            <w:r w:rsidRPr="00C10332">
              <w:rPr>
                <w:rFonts w:ascii="Calibri Light" w:hAnsi="Calibri Light" w:cs="Calibri Light"/>
                <w:b/>
                <w:sz w:val="20"/>
                <w:szCs w:val="20"/>
              </w:rPr>
              <w:t>Porcentaje</w:t>
            </w:r>
          </w:p>
        </w:tc>
        <w:tc>
          <w:tcPr>
            <w:tcW w:w="5184" w:type="dxa"/>
          </w:tcPr>
          <w:p w14:paraId="404E1C3E" w14:textId="77777777" w:rsidR="00F5013D" w:rsidRPr="00C10332" w:rsidRDefault="00F5013D" w:rsidP="004E671A">
            <w:pPr>
              <w:jc w:val="center"/>
              <w:rPr>
                <w:rFonts w:ascii="Calibri Light" w:hAnsi="Calibri Light" w:cs="Calibri Light"/>
                <w:b/>
                <w:sz w:val="20"/>
                <w:szCs w:val="20"/>
              </w:rPr>
            </w:pPr>
            <w:r w:rsidRPr="00C10332">
              <w:rPr>
                <w:rFonts w:ascii="Calibri Light" w:hAnsi="Calibri Light" w:cs="Calibri Light"/>
                <w:b/>
                <w:sz w:val="20"/>
                <w:szCs w:val="20"/>
              </w:rPr>
              <w:t>Descripción</w:t>
            </w:r>
          </w:p>
        </w:tc>
      </w:tr>
      <w:tr w:rsidR="00F5013D" w:rsidRPr="00402640" w14:paraId="5C86A7A0" w14:textId="77777777" w:rsidTr="004E671A">
        <w:tc>
          <w:tcPr>
            <w:tcW w:w="2093" w:type="dxa"/>
            <w:shd w:val="clear" w:color="auto" w:fill="C0504D"/>
          </w:tcPr>
          <w:p w14:paraId="49975946" w14:textId="77777777" w:rsidR="00F5013D" w:rsidRPr="00C10332" w:rsidRDefault="00F5013D" w:rsidP="004E671A">
            <w:pPr>
              <w:jc w:val="center"/>
              <w:rPr>
                <w:rFonts w:ascii="Calibri Light" w:hAnsi="Calibri Light" w:cs="Calibri Light"/>
                <w:sz w:val="20"/>
                <w:szCs w:val="20"/>
              </w:rPr>
            </w:pPr>
            <w:r w:rsidRPr="00C10332">
              <w:rPr>
                <w:rFonts w:ascii="Calibri Light" w:hAnsi="Calibri Light" w:cs="Calibri Light"/>
                <w:sz w:val="20"/>
                <w:szCs w:val="20"/>
              </w:rPr>
              <w:t>No iniciado</w:t>
            </w:r>
          </w:p>
        </w:tc>
        <w:tc>
          <w:tcPr>
            <w:tcW w:w="1701" w:type="dxa"/>
            <w:shd w:val="clear" w:color="auto" w:fill="C0504D"/>
          </w:tcPr>
          <w:p w14:paraId="4E48A872" w14:textId="77777777" w:rsidR="00F5013D" w:rsidRPr="00C10332" w:rsidRDefault="00F5013D" w:rsidP="004E671A">
            <w:pPr>
              <w:jc w:val="center"/>
              <w:rPr>
                <w:rFonts w:ascii="Calibri Light" w:hAnsi="Calibri Light" w:cs="Calibri Light"/>
                <w:sz w:val="20"/>
                <w:szCs w:val="20"/>
              </w:rPr>
            </w:pPr>
            <w:r w:rsidRPr="00C10332">
              <w:rPr>
                <w:rFonts w:ascii="Calibri Light" w:hAnsi="Calibri Light" w:cs="Calibri Light"/>
                <w:sz w:val="20"/>
                <w:szCs w:val="20"/>
              </w:rPr>
              <w:t>0%</w:t>
            </w:r>
          </w:p>
        </w:tc>
        <w:tc>
          <w:tcPr>
            <w:tcW w:w="5184" w:type="dxa"/>
            <w:shd w:val="clear" w:color="auto" w:fill="C0504D"/>
          </w:tcPr>
          <w:p w14:paraId="54730B55" w14:textId="77777777" w:rsidR="00F5013D" w:rsidRPr="00C10332" w:rsidRDefault="00F5013D" w:rsidP="004E671A">
            <w:pPr>
              <w:rPr>
                <w:rFonts w:ascii="Calibri Light" w:hAnsi="Calibri Light" w:cs="Calibri Light"/>
                <w:sz w:val="20"/>
                <w:szCs w:val="20"/>
              </w:rPr>
            </w:pPr>
            <w:r w:rsidRPr="00C10332">
              <w:rPr>
                <w:rFonts w:ascii="Calibri Light" w:hAnsi="Calibri Light" w:cs="Calibri Light"/>
                <w:sz w:val="20"/>
                <w:szCs w:val="20"/>
              </w:rPr>
              <w:t>El hito no presenta ningún avance para la consecución del producto comprometido.</w:t>
            </w:r>
          </w:p>
        </w:tc>
      </w:tr>
      <w:tr w:rsidR="00F5013D" w:rsidRPr="00402640" w14:paraId="6E7026FC" w14:textId="77777777" w:rsidTr="004E671A">
        <w:tc>
          <w:tcPr>
            <w:tcW w:w="2093" w:type="dxa"/>
            <w:shd w:val="clear" w:color="auto" w:fill="F79646"/>
          </w:tcPr>
          <w:p w14:paraId="34D9869C" w14:textId="77777777" w:rsidR="00F5013D" w:rsidRPr="00C10332" w:rsidRDefault="00F5013D" w:rsidP="004E671A">
            <w:pPr>
              <w:jc w:val="center"/>
              <w:rPr>
                <w:rFonts w:ascii="Calibri Light" w:hAnsi="Calibri Light" w:cs="Calibri Light"/>
                <w:sz w:val="20"/>
                <w:szCs w:val="20"/>
              </w:rPr>
            </w:pPr>
            <w:r w:rsidRPr="00C10332">
              <w:rPr>
                <w:rFonts w:ascii="Calibri Light" w:hAnsi="Calibri Light" w:cs="Calibri Light"/>
                <w:sz w:val="20"/>
                <w:szCs w:val="20"/>
              </w:rPr>
              <w:t>Avance limitado</w:t>
            </w:r>
          </w:p>
          <w:p w14:paraId="180DCE37" w14:textId="77777777" w:rsidR="00F5013D" w:rsidRPr="00C10332" w:rsidRDefault="00F5013D" w:rsidP="004E671A">
            <w:pPr>
              <w:jc w:val="center"/>
              <w:rPr>
                <w:rFonts w:ascii="Calibri Light" w:hAnsi="Calibri Light" w:cs="Calibri Light"/>
                <w:sz w:val="20"/>
                <w:szCs w:val="20"/>
              </w:rPr>
            </w:pPr>
          </w:p>
        </w:tc>
        <w:tc>
          <w:tcPr>
            <w:tcW w:w="1701" w:type="dxa"/>
            <w:shd w:val="clear" w:color="auto" w:fill="F79646"/>
          </w:tcPr>
          <w:p w14:paraId="64ACC8A7" w14:textId="77777777" w:rsidR="00F5013D" w:rsidRPr="00C10332" w:rsidRDefault="00F5013D" w:rsidP="004E671A">
            <w:pPr>
              <w:jc w:val="center"/>
              <w:rPr>
                <w:rFonts w:ascii="Calibri Light" w:hAnsi="Calibri Light" w:cs="Calibri Light"/>
                <w:sz w:val="20"/>
                <w:szCs w:val="20"/>
              </w:rPr>
            </w:pPr>
            <w:r w:rsidRPr="00C10332">
              <w:rPr>
                <w:rFonts w:ascii="Calibri Light" w:hAnsi="Calibri Light" w:cs="Calibri Light"/>
                <w:sz w:val="20"/>
                <w:szCs w:val="20"/>
              </w:rPr>
              <w:t>25%</w:t>
            </w:r>
          </w:p>
        </w:tc>
        <w:tc>
          <w:tcPr>
            <w:tcW w:w="5184" w:type="dxa"/>
            <w:shd w:val="clear" w:color="auto" w:fill="F79646"/>
          </w:tcPr>
          <w:p w14:paraId="539AA31B" w14:textId="77777777" w:rsidR="00F5013D" w:rsidRPr="00C10332" w:rsidRDefault="00F5013D" w:rsidP="004E671A">
            <w:pPr>
              <w:jc w:val="both"/>
              <w:rPr>
                <w:rFonts w:ascii="Calibri Light" w:hAnsi="Calibri Light" w:cs="Calibri Light"/>
                <w:sz w:val="20"/>
                <w:szCs w:val="20"/>
              </w:rPr>
            </w:pPr>
            <w:r w:rsidRPr="00C10332">
              <w:rPr>
                <w:rFonts w:ascii="Calibri Light" w:hAnsi="Calibri Light" w:cs="Calibri Light"/>
                <w:sz w:val="20"/>
                <w:szCs w:val="20"/>
              </w:rPr>
              <w:t xml:space="preserve">El hito presenta un nivel mínimo de avance. Corresponde a las primeras tareas ejecutadas, las cuales pueden ser los primeros avances para su implementación, como reuniones de coordinación y tareas administrativas.  </w:t>
            </w:r>
          </w:p>
        </w:tc>
      </w:tr>
      <w:tr w:rsidR="00F5013D" w:rsidRPr="00402640" w14:paraId="6FD69524" w14:textId="77777777" w:rsidTr="004E671A">
        <w:tc>
          <w:tcPr>
            <w:tcW w:w="2093" w:type="dxa"/>
            <w:shd w:val="clear" w:color="auto" w:fill="CCFF66"/>
          </w:tcPr>
          <w:p w14:paraId="5F948C21" w14:textId="77777777" w:rsidR="00F5013D" w:rsidRPr="00C10332" w:rsidRDefault="00F5013D" w:rsidP="004E671A">
            <w:pPr>
              <w:jc w:val="center"/>
              <w:rPr>
                <w:rFonts w:ascii="Calibri Light" w:hAnsi="Calibri Light" w:cs="Calibri Light"/>
                <w:sz w:val="20"/>
                <w:szCs w:val="20"/>
              </w:rPr>
            </w:pPr>
            <w:r w:rsidRPr="00C10332">
              <w:rPr>
                <w:rFonts w:ascii="Calibri Light" w:hAnsi="Calibri Light" w:cs="Calibri Light"/>
                <w:sz w:val="20"/>
                <w:szCs w:val="20"/>
              </w:rPr>
              <w:t>Avance medio</w:t>
            </w:r>
          </w:p>
        </w:tc>
        <w:tc>
          <w:tcPr>
            <w:tcW w:w="1701" w:type="dxa"/>
            <w:shd w:val="clear" w:color="auto" w:fill="CCFF66"/>
          </w:tcPr>
          <w:p w14:paraId="60D0AE1F" w14:textId="77777777" w:rsidR="00F5013D" w:rsidRPr="00C10332" w:rsidRDefault="00F5013D" w:rsidP="004E671A">
            <w:pPr>
              <w:jc w:val="center"/>
              <w:rPr>
                <w:rFonts w:ascii="Calibri Light" w:hAnsi="Calibri Light" w:cs="Calibri Light"/>
                <w:sz w:val="20"/>
                <w:szCs w:val="20"/>
              </w:rPr>
            </w:pPr>
            <w:r w:rsidRPr="00C10332">
              <w:rPr>
                <w:rFonts w:ascii="Calibri Light" w:hAnsi="Calibri Light" w:cs="Calibri Light"/>
                <w:sz w:val="20"/>
                <w:szCs w:val="20"/>
              </w:rPr>
              <w:t>50%</w:t>
            </w:r>
          </w:p>
        </w:tc>
        <w:tc>
          <w:tcPr>
            <w:tcW w:w="5184" w:type="dxa"/>
            <w:shd w:val="clear" w:color="auto" w:fill="CCFF66"/>
          </w:tcPr>
          <w:p w14:paraId="40B4B6D3" w14:textId="77777777" w:rsidR="00F5013D" w:rsidRPr="00C10332" w:rsidRDefault="00F5013D" w:rsidP="004E671A">
            <w:pPr>
              <w:jc w:val="both"/>
              <w:rPr>
                <w:rFonts w:ascii="Calibri Light" w:hAnsi="Calibri Light" w:cs="Calibri Light"/>
                <w:sz w:val="20"/>
                <w:szCs w:val="20"/>
              </w:rPr>
            </w:pPr>
            <w:r w:rsidRPr="00C10332">
              <w:rPr>
                <w:rFonts w:ascii="Calibri Light" w:hAnsi="Calibri Light" w:cs="Calibri Light"/>
                <w:sz w:val="20"/>
                <w:szCs w:val="20"/>
              </w:rPr>
              <w:t xml:space="preserve">El hito se encuentra en la mitad de su implementación. Ya se iniciaron tareas concretas para su desarrollo, pero aún no se presentan avances significativos para el logro de lo comprometido.  </w:t>
            </w:r>
          </w:p>
        </w:tc>
      </w:tr>
      <w:tr w:rsidR="00F5013D" w:rsidRPr="00402640" w14:paraId="2C82B8ED" w14:textId="77777777" w:rsidTr="004E671A">
        <w:tc>
          <w:tcPr>
            <w:tcW w:w="2093" w:type="dxa"/>
            <w:shd w:val="clear" w:color="auto" w:fill="4F81BD"/>
          </w:tcPr>
          <w:p w14:paraId="162473C7" w14:textId="77777777" w:rsidR="00F5013D" w:rsidRPr="00C10332" w:rsidRDefault="00F5013D" w:rsidP="004E671A">
            <w:pPr>
              <w:jc w:val="center"/>
              <w:rPr>
                <w:rFonts w:ascii="Calibri Light" w:hAnsi="Calibri Light" w:cs="Calibri Light"/>
                <w:sz w:val="20"/>
                <w:szCs w:val="20"/>
              </w:rPr>
            </w:pPr>
            <w:r w:rsidRPr="00C10332">
              <w:rPr>
                <w:rFonts w:ascii="Calibri Light" w:hAnsi="Calibri Light" w:cs="Calibri Light"/>
                <w:sz w:val="20"/>
                <w:szCs w:val="20"/>
              </w:rPr>
              <w:t>Avance sustancial</w:t>
            </w:r>
          </w:p>
        </w:tc>
        <w:tc>
          <w:tcPr>
            <w:tcW w:w="1701" w:type="dxa"/>
            <w:shd w:val="clear" w:color="auto" w:fill="4F81BD"/>
          </w:tcPr>
          <w:p w14:paraId="0F7A49C6" w14:textId="77777777" w:rsidR="00F5013D" w:rsidRPr="00C10332" w:rsidRDefault="00F5013D" w:rsidP="004E671A">
            <w:pPr>
              <w:jc w:val="center"/>
              <w:rPr>
                <w:rFonts w:ascii="Calibri Light" w:hAnsi="Calibri Light" w:cs="Calibri Light"/>
                <w:sz w:val="20"/>
                <w:szCs w:val="20"/>
              </w:rPr>
            </w:pPr>
            <w:r w:rsidRPr="00C10332">
              <w:rPr>
                <w:rFonts w:ascii="Calibri Light" w:hAnsi="Calibri Light" w:cs="Calibri Light"/>
                <w:sz w:val="20"/>
                <w:szCs w:val="20"/>
              </w:rPr>
              <w:t>75%</w:t>
            </w:r>
          </w:p>
        </w:tc>
        <w:tc>
          <w:tcPr>
            <w:tcW w:w="5184" w:type="dxa"/>
            <w:shd w:val="clear" w:color="auto" w:fill="4F81BD"/>
          </w:tcPr>
          <w:p w14:paraId="616CF869" w14:textId="77777777" w:rsidR="00F5013D" w:rsidRPr="00C10332" w:rsidRDefault="00F5013D" w:rsidP="004E671A">
            <w:pPr>
              <w:jc w:val="both"/>
              <w:rPr>
                <w:rFonts w:ascii="Calibri Light" w:hAnsi="Calibri Light" w:cs="Calibri Light"/>
                <w:sz w:val="20"/>
                <w:szCs w:val="20"/>
              </w:rPr>
            </w:pPr>
            <w:r w:rsidRPr="00C10332">
              <w:rPr>
                <w:rFonts w:ascii="Calibri Light" w:hAnsi="Calibri Light" w:cs="Calibri Light"/>
                <w:sz w:val="20"/>
                <w:szCs w:val="20"/>
              </w:rPr>
              <w:t xml:space="preserve">El hito se encuentra en un estado avanzado de la implementación. Se observan indicios de los productos comprometidos con avance aceptable. </w:t>
            </w:r>
          </w:p>
        </w:tc>
      </w:tr>
      <w:tr w:rsidR="00F5013D" w:rsidRPr="00402640" w14:paraId="303F914F" w14:textId="77777777" w:rsidTr="004E671A">
        <w:trPr>
          <w:trHeight w:val="60"/>
        </w:trPr>
        <w:tc>
          <w:tcPr>
            <w:tcW w:w="2093" w:type="dxa"/>
            <w:shd w:val="clear" w:color="auto" w:fill="00B050"/>
          </w:tcPr>
          <w:p w14:paraId="2DFD1B57" w14:textId="77777777" w:rsidR="00F5013D" w:rsidRPr="00C10332" w:rsidRDefault="00F5013D" w:rsidP="004E671A">
            <w:pPr>
              <w:jc w:val="center"/>
              <w:rPr>
                <w:rFonts w:ascii="Calibri Light" w:hAnsi="Calibri Light" w:cs="Calibri Light"/>
                <w:sz w:val="20"/>
                <w:szCs w:val="20"/>
              </w:rPr>
            </w:pPr>
            <w:r w:rsidRPr="00C10332">
              <w:rPr>
                <w:rFonts w:ascii="Calibri Light" w:hAnsi="Calibri Light" w:cs="Calibri Light"/>
                <w:sz w:val="20"/>
                <w:szCs w:val="20"/>
              </w:rPr>
              <w:t>Completo</w:t>
            </w:r>
          </w:p>
        </w:tc>
        <w:tc>
          <w:tcPr>
            <w:tcW w:w="1701" w:type="dxa"/>
            <w:shd w:val="clear" w:color="auto" w:fill="00B050"/>
          </w:tcPr>
          <w:p w14:paraId="620E97C5" w14:textId="77777777" w:rsidR="00F5013D" w:rsidRPr="00C10332" w:rsidRDefault="00F5013D" w:rsidP="004E671A">
            <w:pPr>
              <w:jc w:val="center"/>
              <w:rPr>
                <w:rFonts w:ascii="Calibri Light" w:hAnsi="Calibri Light" w:cs="Calibri Light"/>
                <w:sz w:val="20"/>
                <w:szCs w:val="20"/>
              </w:rPr>
            </w:pPr>
            <w:r w:rsidRPr="00C10332">
              <w:rPr>
                <w:rFonts w:ascii="Calibri Light" w:hAnsi="Calibri Light" w:cs="Calibri Light"/>
                <w:sz w:val="20"/>
                <w:szCs w:val="20"/>
              </w:rPr>
              <w:t>100%</w:t>
            </w:r>
          </w:p>
        </w:tc>
        <w:tc>
          <w:tcPr>
            <w:tcW w:w="5184" w:type="dxa"/>
            <w:shd w:val="clear" w:color="auto" w:fill="00B050"/>
          </w:tcPr>
          <w:p w14:paraId="64E13F20" w14:textId="77777777" w:rsidR="00F5013D" w:rsidRPr="00C10332" w:rsidRDefault="00F5013D" w:rsidP="004E671A">
            <w:pPr>
              <w:jc w:val="both"/>
              <w:rPr>
                <w:rFonts w:ascii="Calibri Light" w:hAnsi="Calibri Light" w:cs="Calibri Light"/>
                <w:sz w:val="20"/>
                <w:szCs w:val="20"/>
              </w:rPr>
            </w:pPr>
            <w:r w:rsidRPr="00C10332">
              <w:rPr>
                <w:rFonts w:ascii="Calibri Light" w:hAnsi="Calibri Light" w:cs="Calibri Light"/>
                <w:sz w:val="20"/>
                <w:szCs w:val="20"/>
              </w:rPr>
              <w:t xml:space="preserve">El hito se encuentra cumplido en su cabalidad y se presentan los resultados esperados dentro del periodo de implementación del Plan de Acción (hasta junio de 2020). </w:t>
            </w:r>
          </w:p>
        </w:tc>
      </w:tr>
    </w:tbl>
    <w:p w14:paraId="11B63FA5" w14:textId="77777777" w:rsidR="00F5013D" w:rsidRDefault="00F5013D" w:rsidP="00F5013D">
      <w:pPr>
        <w:jc w:val="both"/>
        <w:rPr>
          <w:rFonts w:asciiTheme="majorHAnsi" w:hAnsiTheme="majorHAnsi" w:cstheme="majorHAnsi"/>
          <w:bCs/>
          <w:color w:val="4F81BD"/>
          <w:sz w:val="20"/>
          <w:szCs w:val="20"/>
        </w:rPr>
      </w:pPr>
    </w:p>
    <w:p w14:paraId="17B45C69" w14:textId="77777777" w:rsidR="00F5013D" w:rsidRPr="00D1742A" w:rsidRDefault="00F5013D" w:rsidP="00F5013D">
      <w:pPr>
        <w:pStyle w:val="Ttulo2"/>
        <w:jc w:val="center"/>
        <w:rPr>
          <w:rFonts w:ascii="Calibri" w:eastAsia="Calibri" w:hAnsi="Calibri" w:cs="Calibri"/>
          <w:sz w:val="28"/>
          <w:szCs w:val="28"/>
        </w:rPr>
      </w:pPr>
      <w:r w:rsidRPr="00D1742A">
        <w:rPr>
          <w:rFonts w:ascii="Calibri" w:eastAsia="Calibri" w:hAnsi="Calibri" w:cs="Calibri"/>
          <w:sz w:val="28"/>
          <w:szCs w:val="28"/>
        </w:rPr>
        <w:lastRenderedPageBreak/>
        <w:t xml:space="preserve">REPORTE DE </w:t>
      </w:r>
      <w:r>
        <w:rPr>
          <w:rFonts w:ascii="Calibri" w:eastAsia="Calibri" w:hAnsi="Calibri" w:cs="Calibri"/>
          <w:sz w:val="28"/>
          <w:szCs w:val="28"/>
        </w:rPr>
        <w:t>CUMPLIMIENTO</w:t>
      </w:r>
    </w:p>
    <w:p w14:paraId="7D49D5D9" w14:textId="77777777" w:rsidR="00F5013D" w:rsidRDefault="00F5013D" w:rsidP="00F5013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417"/>
        <w:gridCol w:w="3827"/>
        <w:gridCol w:w="1462"/>
      </w:tblGrid>
      <w:tr w:rsidR="00F5013D" w14:paraId="764E7DF6" w14:textId="77777777" w:rsidTr="004E671A">
        <w:tc>
          <w:tcPr>
            <w:tcW w:w="2122" w:type="dxa"/>
            <w:shd w:val="clear" w:color="auto" w:fill="ACB9CA" w:themeFill="text2" w:themeFillTint="66"/>
          </w:tcPr>
          <w:p w14:paraId="149DDE65" w14:textId="77777777" w:rsidR="00F5013D" w:rsidRPr="00B13F49" w:rsidRDefault="00F5013D" w:rsidP="004E671A">
            <w:pPr>
              <w:jc w:val="center"/>
              <w:rPr>
                <w:b/>
                <w:color w:val="FFFFFF" w:themeColor="background1"/>
              </w:rPr>
            </w:pPr>
            <w:r w:rsidRPr="00B13F49">
              <w:rPr>
                <w:b/>
                <w:color w:val="FFFFFF" w:themeColor="background1"/>
              </w:rPr>
              <w:t>Categoría</w:t>
            </w:r>
          </w:p>
        </w:tc>
        <w:tc>
          <w:tcPr>
            <w:tcW w:w="6706" w:type="dxa"/>
            <w:gridSpan w:val="3"/>
            <w:shd w:val="clear" w:color="auto" w:fill="ACB9CA" w:themeFill="text2" w:themeFillTint="66"/>
          </w:tcPr>
          <w:p w14:paraId="07698636" w14:textId="77777777" w:rsidR="00F5013D" w:rsidRPr="00B13F49" w:rsidRDefault="00F5013D" w:rsidP="004E671A">
            <w:pPr>
              <w:jc w:val="center"/>
              <w:rPr>
                <w:b/>
                <w:color w:val="FFFFFF" w:themeColor="background1"/>
              </w:rPr>
            </w:pPr>
            <w:r w:rsidRPr="00B13F49">
              <w:rPr>
                <w:b/>
                <w:color w:val="FFFFFF" w:themeColor="background1"/>
              </w:rPr>
              <w:t>Información</w:t>
            </w:r>
          </w:p>
        </w:tc>
      </w:tr>
      <w:tr w:rsidR="00F5013D" w14:paraId="397B961F" w14:textId="77777777" w:rsidTr="004E671A">
        <w:trPr>
          <w:trHeight w:val="760"/>
        </w:trPr>
        <w:tc>
          <w:tcPr>
            <w:tcW w:w="2122" w:type="dxa"/>
          </w:tcPr>
          <w:p w14:paraId="3C4336FC" w14:textId="77777777" w:rsidR="00F5013D" w:rsidRDefault="00F5013D" w:rsidP="004E671A">
            <w:pPr>
              <w:pStyle w:val="Subttulo"/>
              <w:jc w:val="both"/>
              <w:rPr>
                <w:rFonts w:ascii="Calibri" w:eastAsia="Calibri" w:hAnsi="Calibri" w:cs="Calibri"/>
                <w:i w:val="0"/>
                <w:sz w:val="22"/>
                <w:szCs w:val="22"/>
              </w:rPr>
            </w:pPr>
            <w:r>
              <w:rPr>
                <w:rFonts w:ascii="Calibri" w:eastAsia="Calibri" w:hAnsi="Calibri" w:cs="Calibri"/>
                <w:i w:val="0"/>
                <w:sz w:val="22"/>
                <w:szCs w:val="22"/>
              </w:rPr>
              <w:t>Nombre del compromiso</w:t>
            </w:r>
          </w:p>
        </w:tc>
        <w:tc>
          <w:tcPr>
            <w:tcW w:w="6706" w:type="dxa"/>
            <w:gridSpan w:val="3"/>
          </w:tcPr>
          <w:p w14:paraId="79A13BAF" w14:textId="5369345D" w:rsidR="00F5013D" w:rsidRPr="00E7580E" w:rsidRDefault="00E7580E" w:rsidP="004E671A">
            <w:pPr>
              <w:pStyle w:val="Ttulo1"/>
              <w:shd w:val="clear" w:color="auto" w:fill="FFFFFF"/>
              <w:spacing w:before="0"/>
              <w:rPr>
                <w:rFonts w:asciiTheme="minorHAnsi" w:hAnsiTheme="minorHAnsi" w:cstheme="minorHAnsi"/>
                <w:b w:val="0"/>
                <w:bCs/>
                <w:color w:val="212529"/>
                <w:sz w:val="22"/>
                <w:szCs w:val="22"/>
              </w:rPr>
            </w:pPr>
            <w:r w:rsidRPr="00E7580E">
              <w:rPr>
                <w:rFonts w:asciiTheme="minorHAnsi" w:hAnsiTheme="minorHAnsi" w:cstheme="minorHAnsi"/>
                <w:b w:val="0"/>
                <w:bCs/>
                <w:color w:val="212529"/>
                <w:sz w:val="22"/>
                <w:szCs w:val="22"/>
              </w:rPr>
              <w:t>Hoja de ruta para consolidar, con la adecuada institucionalización, los principios de Gobierno Abierto en Chile</w:t>
            </w:r>
          </w:p>
        </w:tc>
      </w:tr>
      <w:tr w:rsidR="00F5013D" w14:paraId="28CAD0C8" w14:textId="77777777" w:rsidTr="004E671A">
        <w:tc>
          <w:tcPr>
            <w:tcW w:w="2122" w:type="dxa"/>
          </w:tcPr>
          <w:p w14:paraId="553AEC51" w14:textId="77777777" w:rsidR="00F5013D" w:rsidRDefault="00F5013D" w:rsidP="004E671A">
            <w:pPr>
              <w:pStyle w:val="Subttulo"/>
              <w:jc w:val="both"/>
              <w:rPr>
                <w:rFonts w:ascii="Calibri" w:eastAsia="Calibri" w:hAnsi="Calibri" w:cs="Calibri"/>
                <w:i w:val="0"/>
                <w:sz w:val="22"/>
                <w:szCs w:val="22"/>
              </w:rPr>
            </w:pPr>
            <w:r>
              <w:rPr>
                <w:rFonts w:ascii="Calibri" w:eastAsia="Calibri" w:hAnsi="Calibri" w:cs="Calibri"/>
                <w:i w:val="0"/>
                <w:sz w:val="22"/>
                <w:szCs w:val="22"/>
              </w:rPr>
              <w:t>Institución implementadora</w:t>
            </w:r>
          </w:p>
        </w:tc>
        <w:tc>
          <w:tcPr>
            <w:tcW w:w="6706" w:type="dxa"/>
            <w:gridSpan w:val="3"/>
          </w:tcPr>
          <w:p w14:paraId="5088BD16" w14:textId="1A66AF6F" w:rsidR="00F5013D" w:rsidRPr="00E7580E" w:rsidRDefault="00E7580E" w:rsidP="004E671A">
            <w:pPr>
              <w:jc w:val="both"/>
              <w:rPr>
                <w:bCs/>
                <w:i/>
              </w:rPr>
            </w:pPr>
            <w:bookmarkStart w:id="0" w:name="_gjdgxs" w:colFirst="0" w:colLast="0"/>
            <w:bookmarkEnd w:id="0"/>
            <w:r w:rsidRPr="00E7580E">
              <w:rPr>
                <w:bCs/>
              </w:rPr>
              <w:t>Comisión de Integridad Pública y Transparencia</w:t>
            </w:r>
          </w:p>
        </w:tc>
      </w:tr>
      <w:tr w:rsidR="00F5013D" w14:paraId="5F08D308" w14:textId="77777777" w:rsidTr="004E671A">
        <w:tc>
          <w:tcPr>
            <w:tcW w:w="2122" w:type="dxa"/>
          </w:tcPr>
          <w:p w14:paraId="07B84FB1" w14:textId="77777777" w:rsidR="00F5013D" w:rsidRDefault="00F5013D" w:rsidP="004E671A">
            <w:pPr>
              <w:pStyle w:val="Subttulo"/>
              <w:jc w:val="both"/>
              <w:rPr>
                <w:rFonts w:ascii="Calibri" w:eastAsia="Calibri" w:hAnsi="Calibri" w:cs="Calibri"/>
                <w:i w:val="0"/>
                <w:sz w:val="22"/>
                <w:szCs w:val="22"/>
              </w:rPr>
            </w:pPr>
            <w:r>
              <w:rPr>
                <w:rFonts w:ascii="Calibri" w:eastAsia="Calibri" w:hAnsi="Calibri" w:cs="Calibri"/>
                <w:i w:val="0"/>
                <w:sz w:val="22"/>
                <w:szCs w:val="22"/>
              </w:rPr>
              <w:t xml:space="preserve">Descripción compromiso </w:t>
            </w:r>
          </w:p>
        </w:tc>
        <w:tc>
          <w:tcPr>
            <w:tcW w:w="6706" w:type="dxa"/>
            <w:gridSpan w:val="3"/>
          </w:tcPr>
          <w:p w14:paraId="44D5F445" w14:textId="3C774A19" w:rsidR="00F5013D" w:rsidRPr="00E7580E" w:rsidRDefault="00E7580E" w:rsidP="00E7580E">
            <w:pPr>
              <w:pStyle w:val="NormalWeb"/>
              <w:spacing w:after="0" w:afterAutospacing="0"/>
              <w:jc w:val="both"/>
              <w:rPr>
                <w:rFonts w:ascii="Calibri" w:eastAsia="Calibri" w:hAnsi="Calibri" w:cs="Calibri"/>
                <w:iCs/>
                <w:sz w:val="22"/>
                <w:szCs w:val="22"/>
              </w:rPr>
            </w:pPr>
            <w:r w:rsidRPr="00E7580E">
              <w:rPr>
                <w:rFonts w:ascii="Calibri" w:eastAsia="Calibri" w:hAnsi="Calibri" w:cs="Calibri"/>
                <w:iCs/>
                <w:sz w:val="22"/>
                <w:szCs w:val="22"/>
              </w:rPr>
              <w:t>Chile está en un proceso de construcción de un plan de desarrollo o estrategia nacional que oriente los pasos que se deben seguir para profundizar los principios de Gobierno Abierto en la Administración Pública. Si bien los esfuerzos realizados han logrado profundizar los principios de gobierno abierto y una cultura de la cocreación, las acciones no se han desarrollado de forma articulada, y se han encontrado dificultades al momento de sumar a la discusión a actores relevantes de las instituciones públicas, sociedad civil y academia.</w:t>
            </w:r>
            <w:r>
              <w:rPr>
                <w:rFonts w:ascii="Calibri" w:eastAsia="Calibri" w:hAnsi="Calibri" w:cs="Calibri"/>
                <w:iCs/>
                <w:sz w:val="22"/>
                <w:szCs w:val="22"/>
              </w:rPr>
              <w:t xml:space="preserve"> </w:t>
            </w:r>
            <w:r w:rsidRPr="00E7580E">
              <w:rPr>
                <w:rFonts w:ascii="Calibri" w:eastAsia="Calibri" w:hAnsi="Calibri" w:cs="Calibri"/>
                <w:iCs/>
                <w:sz w:val="22"/>
                <w:szCs w:val="22"/>
              </w:rPr>
              <w:t>Adicionalmente, Chile requiere de un diagnóstico que permita evidenciar con claridad los avances realizados en la materia y los siguientes pasos que permitan consolidar los principios de Gobierno Abierto en nuestro país.</w:t>
            </w:r>
          </w:p>
        </w:tc>
      </w:tr>
      <w:tr w:rsidR="00F5013D" w14:paraId="2072CF11" w14:textId="77777777" w:rsidTr="004E671A">
        <w:tc>
          <w:tcPr>
            <w:tcW w:w="2122" w:type="dxa"/>
          </w:tcPr>
          <w:p w14:paraId="7094BD2F" w14:textId="77777777" w:rsidR="00F5013D" w:rsidRDefault="00F5013D" w:rsidP="004E671A">
            <w:pPr>
              <w:pStyle w:val="Subttulo"/>
              <w:jc w:val="both"/>
              <w:rPr>
                <w:rFonts w:ascii="Calibri" w:eastAsia="Calibri" w:hAnsi="Calibri" w:cs="Calibri"/>
                <w:i w:val="0"/>
                <w:sz w:val="22"/>
                <w:szCs w:val="22"/>
              </w:rPr>
            </w:pPr>
            <w:r>
              <w:rPr>
                <w:rFonts w:ascii="Calibri" w:eastAsia="Calibri" w:hAnsi="Calibri" w:cs="Calibri"/>
                <w:i w:val="0"/>
                <w:sz w:val="22"/>
                <w:szCs w:val="22"/>
              </w:rPr>
              <w:t>Nivel y porcentaje de cumplimiento total</w:t>
            </w:r>
          </w:p>
        </w:tc>
        <w:tc>
          <w:tcPr>
            <w:tcW w:w="6706" w:type="dxa"/>
            <w:gridSpan w:val="3"/>
            <w:vAlign w:val="center"/>
          </w:tcPr>
          <w:p w14:paraId="152AA7C4" w14:textId="5B9E1BE5" w:rsidR="00F5013D" w:rsidRDefault="00E7580E" w:rsidP="004E671A">
            <w:r>
              <w:t>25</w:t>
            </w:r>
            <w:r w:rsidR="00F5013D" w:rsidRPr="00827D66">
              <w:t xml:space="preserve">% </w:t>
            </w:r>
          </w:p>
        </w:tc>
      </w:tr>
      <w:tr w:rsidR="00F5013D" w14:paraId="6096E720" w14:textId="77777777" w:rsidTr="004E671A">
        <w:tc>
          <w:tcPr>
            <w:tcW w:w="8828" w:type="dxa"/>
            <w:gridSpan w:val="4"/>
            <w:shd w:val="clear" w:color="auto" w:fill="70AD47" w:themeFill="accent6"/>
          </w:tcPr>
          <w:p w14:paraId="6F7E6FE0" w14:textId="77777777" w:rsidR="00F5013D" w:rsidRPr="00B13F49" w:rsidRDefault="00F5013D" w:rsidP="004E671A">
            <w:pPr>
              <w:jc w:val="center"/>
              <w:rPr>
                <w:i/>
                <w:color w:val="FFFFFF" w:themeColor="background1"/>
              </w:rPr>
            </w:pPr>
            <w:r w:rsidRPr="00B13F49">
              <w:rPr>
                <w:b/>
                <w:color w:val="FFFFFF" w:themeColor="background1"/>
              </w:rPr>
              <w:t>Seguimiento por actividad</w:t>
            </w:r>
          </w:p>
        </w:tc>
      </w:tr>
      <w:tr w:rsidR="00F5013D" w14:paraId="2DB7FC36" w14:textId="77777777" w:rsidTr="004E671A">
        <w:trPr>
          <w:trHeight w:val="400"/>
        </w:trPr>
        <w:tc>
          <w:tcPr>
            <w:tcW w:w="2122" w:type="dxa"/>
          </w:tcPr>
          <w:p w14:paraId="182D8F1E" w14:textId="77777777" w:rsidR="00F5013D" w:rsidRDefault="00F5013D" w:rsidP="004E671A">
            <w:pPr>
              <w:pStyle w:val="Subttulo"/>
              <w:jc w:val="center"/>
              <w:rPr>
                <w:rFonts w:ascii="Calibri" w:eastAsia="Calibri" w:hAnsi="Calibri" w:cs="Calibri"/>
                <w:i w:val="0"/>
                <w:sz w:val="22"/>
                <w:szCs w:val="22"/>
              </w:rPr>
            </w:pPr>
            <w:r>
              <w:rPr>
                <w:rFonts w:ascii="Calibri" w:eastAsia="Calibri" w:hAnsi="Calibri" w:cs="Calibri"/>
                <w:i w:val="0"/>
                <w:sz w:val="22"/>
                <w:szCs w:val="22"/>
              </w:rPr>
              <w:t>Actividad</w:t>
            </w:r>
          </w:p>
        </w:tc>
        <w:tc>
          <w:tcPr>
            <w:tcW w:w="1417" w:type="dxa"/>
          </w:tcPr>
          <w:p w14:paraId="26D8393B" w14:textId="77777777" w:rsidR="00F5013D" w:rsidRDefault="00F5013D" w:rsidP="004E671A">
            <w:pPr>
              <w:pStyle w:val="Subttulo"/>
              <w:jc w:val="center"/>
            </w:pPr>
            <w:r w:rsidRPr="009F7EF9">
              <w:rPr>
                <w:rFonts w:ascii="Calibri" w:eastAsia="Calibri" w:hAnsi="Calibri" w:cs="Calibri"/>
                <w:i w:val="0"/>
                <w:sz w:val="22"/>
                <w:szCs w:val="22"/>
              </w:rPr>
              <w:t>% de Avance</w:t>
            </w:r>
          </w:p>
        </w:tc>
        <w:tc>
          <w:tcPr>
            <w:tcW w:w="3827" w:type="dxa"/>
          </w:tcPr>
          <w:p w14:paraId="50186346" w14:textId="77777777" w:rsidR="00F5013D" w:rsidRPr="00D54F90" w:rsidRDefault="00F5013D" w:rsidP="004E671A">
            <w:pPr>
              <w:pStyle w:val="Subttulo"/>
              <w:jc w:val="center"/>
              <w:rPr>
                <w:rFonts w:ascii="Calibri" w:eastAsia="Calibri" w:hAnsi="Calibri" w:cs="Calibri"/>
                <w:i w:val="0"/>
                <w:sz w:val="22"/>
                <w:szCs w:val="22"/>
              </w:rPr>
            </w:pPr>
            <w:r>
              <w:rPr>
                <w:rFonts w:ascii="Calibri" w:eastAsia="Calibri" w:hAnsi="Calibri" w:cs="Calibri"/>
                <w:i w:val="0"/>
                <w:sz w:val="22"/>
                <w:szCs w:val="22"/>
              </w:rPr>
              <w:t>Medio de verificación</w:t>
            </w:r>
          </w:p>
        </w:tc>
        <w:tc>
          <w:tcPr>
            <w:tcW w:w="1462" w:type="dxa"/>
          </w:tcPr>
          <w:p w14:paraId="52A56246" w14:textId="77777777" w:rsidR="00F5013D" w:rsidRDefault="00F5013D" w:rsidP="004E671A">
            <w:pPr>
              <w:pStyle w:val="Subttulo"/>
              <w:jc w:val="center"/>
            </w:pPr>
            <w:r>
              <w:rPr>
                <w:rFonts w:ascii="Calibri" w:eastAsia="Calibri" w:hAnsi="Calibri" w:cs="Calibri"/>
                <w:i w:val="0"/>
                <w:sz w:val="22"/>
                <w:szCs w:val="22"/>
              </w:rPr>
              <w:t>Plazo</w:t>
            </w:r>
          </w:p>
        </w:tc>
      </w:tr>
      <w:tr w:rsidR="00F5013D" w14:paraId="1D803E8A" w14:textId="77777777" w:rsidTr="004E671A">
        <w:trPr>
          <w:trHeight w:val="580"/>
        </w:trPr>
        <w:tc>
          <w:tcPr>
            <w:tcW w:w="2122" w:type="dxa"/>
            <w:vAlign w:val="center"/>
          </w:tcPr>
          <w:p w14:paraId="065362DC" w14:textId="0B7DEFCA" w:rsidR="00F5013D" w:rsidRPr="00B13F49" w:rsidRDefault="00F5013D" w:rsidP="004E671A">
            <w:pPr>
              <w:pStyle w:val="Subttulo"/>
              <w:rPr>
                <w:rFonts w:ascii="Calibri" w:eastAsia="Calibri" w:hAnsi="Calibri" w:cs="Calibri"/>
                <w:i w:val="0"/>
                <w:color w:val="auto"/>
                <w:sz w:val="22"/>
                <w:szCs w:val="22"/>
              </w:rPr>
            </w:pPr>
            <w:r>
              <w:rPr>
                <w:rFonts w:ascii="Calibri" w:eastAsia="Calibri" w:hAnsi="Calibri" w:cs="Calibri"/>
                <w:i w:val="0"/>
                <w:color w:val="auto"/>
                <w:sz w:val="22"/>
                <w:szCs w:val="22"/>
              </w:rPr>
              <w:t>Diagnóstico colaborativo</w:t>
            </w:r>
          </w:p>
        </w:tc>
        <w:tc>
          <w:tcPr>
            <w:tcW w:w="1417" w:type="dxa"/>
            <w:vAlign w:val="center"/>
          </w:tcPr>
          <w:p w14:paraId="48045116" w14:textId="77777777" w:rsidR="00F5013D" w:rsidRDefault="00F5013D" w:rsidP="004E671A">
            <w:pPr>
              <w:jc w:val="center"/>
            </w:pPr>
            <w:r>
              <w:t>100%</w:t>
            </w:r>
          </w:p>
        </w:tc>
        <w:tc>
          <w:tcPr>
            <w:tcW w:w="3827" w:type="dxa"/>
          </w:tcPr>
          <w:p w14:paraId="3FC71AC3" w14:textId="7A29F4B0" w:rsidR="002B3D9F" w:rsidRDefault="002B3D9F" w:rsidP="004E671A">
            <w:pPr>
              <w:jc w:val="both"/>
              <w:rPr>
                <w:b/>
              </w:rPr>
            </w:pPr>
            <w:r>
              <w:rPr>
                <w:b/>
              </w:rPr>
              <w:t>Propuesta de Hoja de Ruta.</w:t>
            </w:r>
          </w:p>
          <w:p w14:paraId="369CF00F" w14:textId="4FC80572" w:rsidR="002B3D9F" w:rsidRDefault="002B3D9F" w:rsidP="004E671A">
            <w:pPr>
              <w:jc w:val="both"/>
              <w:rPr>
                <w:bCs/>
              </w:rPr>
            </w:pPr>
            <w:r>
              <w:rPr>
                <w:bCs/>
              </w:rPr>
              <w:t>La Comisión de Integridad Pública y Transparencia elaboró un primer diagnóstico sobre los puntos que debe abordar la Hoja de Ruta</w:t>
            </w:r>
            <w:r w:rsidR="00B03C35">
              <w:rPr>
                <w:bCs/>
              </w:rPr>
              <w:t>, recogiendo las opiniones expresadas por los integrantes de la Mesa de Gobierno Abierto, tomando en consideración los lineamientos de la Alianza para el Gobierno Abierto</w:t>
            </w:r>
            <w:r w:rsidR="00571A76">
              <w:rPr>
                <w:bCs/>
              </w:rPr>
              <w:t>, recogiendo experiencias y recomendaciones internacionales, y los relatos y experiencias relatados en el libro “Voces de Gobierno Abierto en Chile (2011-2021)”.</w:t>
            </w:r>
            <w:r>
              <w:rPr>
                <w:bCs/>
              </w:rPr>
              <w:t xml:space="preserve"> Este documento fue sometido a </w:t>
            </w:r>
            <w:r>
              <w:rPr>
                <w:bCs/>
              </w:rPr>
              <w:lastRenderedPageBreak/>
              <w:t xml:space="preserve">consulta con la Mesa de Gobierno Abierto, la Red Académica y Red de Sociedad Civil de Gobierno Abierto. El documento estuvo disponible para comentarios desde el 9 de </w:t>
            </w:r>
            <w:r w:rsidR="00B03C35">
              <w:rPr>
                <w:bCs/>
              </w:rPr>
              <w:t>abril</w:t>
            </w:r>
            <w:r>
              <w:rPr>
                <w:bCs/>
              </w:rPr>
              <w:t xml:space="preserve"> al </w:t>
            </w:r>
            <w:r w:rsidR="00F43BE5">
              <w:rPr>
                <w:bCs/>
              </w:rPr>
              <w:t>6 de junio de 2022.</w:t>
            </w:r>
          </w:p>
          <w:p w14:paraId="78B2F036" w14:textId="7C62292C" w:rsidR="00F43BE5" w:rsidRPr="002B3D9F" w:rsidRDefault="00F43BE5" w:rsidP="004E671A">
            <w:pPr>
              <w:jc w:val="both"/>
              <w:rPr>
                <w:bCs/>
              </w:rPr>
            </w:pPr>
            <w:r>
              <w:rPr>
                <w:bCs/>
              </w:rPr>
              <w:t xml:space="preserve">Una vez acordado el documento, los siguientes pasos implican la contratación de una consultoría experta para la elaboración de la propuesta de hoja de ruta. </w:t>
            </w:r>
          </w:p>
          <w:p w14:paraId="006DDEE8" w14:textId="72839923" w:rsidR="00F5013D" w:rsidRPr="003B6D26" w:rsidRDefault="003B6D26" w:rsidP="004E671A">
            <w:pPr>
              <w:jc w:val="both"/>
            </w:pPr>
            <w:r w:rsidRPr="003B6D26">
              <w:t>Enlace al do</w:t>
            </w:r>
            <w:r>
              <w:t xml:space="preserve">cumento: </w:t>
            </w:r>
            <w:hyperlink r:id="rId8" w:history="1">
              <w:r w:rsidRPr="00B23B4B">
                <w:rPr>
                  <w:rStyle w:val="Hipervnculo"/>
                </w:rPr>
                <w:t>https://www.ogp.gob.cl/wp-content/uploads/2022/07/Propuesta-hoja-de-ruta-v5.pdf</w:t>
              </w:r>
            </w:hyperlink>
            <w:r w:rsidR="002B3D9F" w:rsidRPr="003B6D26">
              <w:t xml:space="preserve"> </w:t>
            </w:r>
          </w:p>
        </w:tc>
        <w:tc>
          <w:tcPr>
            <w:tcW w:w="1462" w:type="dxa"/>
            <w:vAlign w:val="center"/>
          </w:tcPr>
          <w:p w14:paraId="120D263A" w14:textId="7E813A54" w:rsidR="00F5013D" w:rsidRDefault="002B3D9F" w:rsidP="004E671A">
            <w:pPr>
              <w:jc w:val="center"/>
            </w:pPr>
            <w:r>
              <w:lastRenderedPageBreak/>
              <w:t>Julio</w:t>
            </w:r>
            <w:r w:rsidR="00F5013D">
              <w:t xml:space="preserve"> 2022</w:t>
            </w:r>
          </w:p>
        </w:tc>
      </w:tr>
      <w:tr w:rsidR="00F5013D" w14:paraId="2117F6BE" w14:textId="77777777" w:rsidTr="004E671A">
        <w:tc>
          <w:tcPr>
            <w:tcW w:w="2122" w:type="dxa"/>
            <w:vAlign w:val="center"/>
          </w:tcPr>
          <w:p w14:paraId="5BEBED57" w14:textId="0C7490C3" w:rsidR="00F5013D" w:rsidRPr="00B13F49" w:rsidRDefault="00B03C35" w:rsidP="004E671A">
            <w:pPr>
              <w:pStyle w:val="Subttulo"/>
              <w:rPr>
                <w:rFonts w:ascii="Calibri" w:eastAsia="Calibri" w:hAnsi="Calibri" w:cs="Calibri"/>
                <w:i w:val="0"/>
                <w:color w:val="auto"/>
                <w:sz w:val="22"/>
                <w:szCs w:val="22"/>
              </w:rPr>
            </w:pPr>
            <w:r>
              <w:rPr>
                <w:rFonts w:ascii="Calibri" w:eastAsia="Calibri" w:hAnsi="Calibri" w:cs="Calibri"/>
                <w:i w:val="0"/>
                <w:color w:val="auto"/>
                <w:sz w:val="22"/>
                <w:szCs w:val="22"/>
              </w:rPr>
              <w:t>Propuesta de hoja de ruta</w:t>
            </w:r>
          </w:p>
        </w:tc>
        <w:tc>
          <w:tcPr>
            <w:tcW w:w="1417" w:type="dxa"/>
            <w:vAlign w:val="center"/>
          </w:tcPr>
          <w:p w14:paraId="04FD0374" w14:textId="7983F1D5" w:rsidR="00F5013D" w:rsidRDefault="00B03C35" w:rsidP="004E671A">
            <w:pPr>
              <w:jc w:val="center"/>
            </w:pPr>
            <w:r>
              <w:t>0%</w:t>
            </w:r>
          </w:p>
        </w:tc>
        <w:tc>
          <w:tcPr>
            <w:tcW w:w="3827" w:type="dxa"/>
          </w:tcPr>
          <w:p w14:paraId="64398B71" w14:textId="1597C701" w:rsidR="00F5013D" w:rsidRDefault="00571A76" w:rsidP="004E671A">
            <w:pPr>
              <w:jc w:val="both"/>
            </w:pPr>
            <w:r>
              <w:t xml:space="preserve">A la fecha de redacción de este reporte, la Comisión de Integridad Pública y Transparencia se encuentra realizando entrevistas a expertos y expertas internacionales, donde la persona seleccionada será la encargada de apoyar en la elaboración de la Hoja de Ruta. La selección de la consultoría será acordada con la Mesa de Gobierno Abierto. </w:t>
            </w:r>
          </w:p>
          <w:p w14:paraId="609E0918" w14:textId="1D4B138B" w:rsidR="00571A76" w:rsidRDefault="00571A76" w:rsidP="004E671A">
            <w:pPr>
              <w:jc w:val="both"/>
            </w:pPr>
          </w:p>
        </w:tc>
        <w:tc>
          <w:tcPr>
            <w:tcW w:w="1462" w:type="dxa"/>
            <w:vAlign w:val="center"/>
          </w:tcPr>
          <w:p w14:paraId="29CFB9CF" w14:textId="3D296E90" w:rsidR="00F5013D" w:rsidRDefault="00B03C35" w:rsidP="004E671A">
            <w:pPr>
              <w:jc w:val="center"/>
            </w:pPr>
            <w:r>
              <w:t>Octubre 2021</w:t>
            </w:r>
          </w:p>
        </w:tc>
      </w:tr>
      <w:tr w:rsidR="00F5013D" w14:paraId="5BF5A0D4" w14:textId="77777777" w:rsidTr="004E671A">
        <w:tc>
          <w:tcPr>
            <w:tcW w:w="2122" w:type="dxa"/>
            <w:vAlign w:val="center"/>
          </w:tcPr>
          <w:p w14:paraId="2F61A7DF" w14:textId="6B8668C5" w:rsidR="00F5013D" w:rsidRPr="00B13F49" w:rsidRDefault="00B03C35" w:rsidP="004E671A">
            <w:pPr>
              <w:pStyle w:val="Subttulo"/>
              <w:rPr>
                <w:rFonts w:ascii="Calibri" w:eastAsia="Calibri" w:hAnsi="Calibri" w:cs="Calibri"/>
                <w:i w:val="0"/>
                <w:color w:val="auto"/>
                <w:sz w:val="22"/>
                <w:szCs w:val="22"/>
              </w:rPr>
            </w:pPr>
            <w:r>
              <w:rPr>
                <w:rFonts w:ascii="Calibri" w:eastAsia="Calibri" w:hAnsi="Calibri" w:cs="Calibri"/>
                <w:i w:val="0"/>
                <w:color w:val="auto"/>
                <w:sz w:val="22"/>
                <w:szCs w:val="22"/>
              </w:rPr>
              <w:t>Consulta pública de la hoja de ruta</w:t>
            </w:r>
          </w:p>
        </w:tc>
        <w:tc>
          <w:tcPr>
            <w:tcW w:w="1417" w:type="dxa"/>
            <w:vAlign w:val="center"/>
          </w:tcPr>
          <w:p w14:paraId="3DFCF084" w14:textId="311F13FB" w:rsidR="00F5013D" w:rsidRDefault="00B03C35" w:rsidP="004E671A">
            <w:pPr>
              <w:jc w:val="center"/>
            </w:pPr>
            <w:r>
              <w:t>0%</w:t>
            </w:r>
          </w:p>
        </w:tc>
        <w:tc>
          <w:tcPr>
            <w:tcW w:w="3827" w:type="dxa"/>
          </w:tcPr>
          <w:p w14:paraId="2BA3BF96" w14:textId="0B0B8554" w:rsidR="00F5013D" w:rsidRPr="00571A76" w:rsidRDefault="00571A76" w:rsidP="004E671A">
            <w:pPr>
              <w:jc w:val="both"/>
              <w:rPr>
                <w:bCs/>
              </w:rPr>
            </w:pPr>
            <w:r w:rsidRPr="00571A76">
              <w:rPr>
                <w:bCs/>
              </w:rPr>
              <w:t>Sin avance.</w:t>
            </w:r>
          </w:p>
        </w:tc>
        <w:tc>
          <w:tcPr>
            <w:tcW w:w="1462" w:type="dxa"/>
            <w:vAlign w:val="center"/>
          </w:tcPr>
          <w:p w14:paraId="43F9A9D8" w14:textId="604CBB1A" w:rsidR="00F5013D" w:rsidRDefault="00B03C35" w:rsidP="004E671A">
            <w:pPr>
              <w:jc w:val="center"/>
            </w:pPr>
            <w:r>
              <w:t>Diciembre 2021</w:t>
            </w:r>
          </w:p>
        </w:tc>
      </w:tr>
      <w:tr w:rsidR="00F5013D" w14:paraId="2391E8ED" w14:textId="77777777" w:rsidTr="004E671A">
        <w:tc>
          <w:tcPr>
            <w:tcW w:w="2122" w:type="dxa"/>
            <w:vAlign w:val="center"/>
          </w:tcPr>
          <w:p w14:paraId="7927CB4A" w14:textId="4D92EEC4" w:rsidR="00F5013D" w:rsidRPr="0021791E" w:rsidRDefault="00B03C35" w:rsidP="004E671A">
            <w:pPr>
              <w:pStyle w:val="Subttulo"/>
              <w:rPr>
                <w:rFonts w:ascii="Calibri" w:eastAsia="Calibri" w:hAnsi="Calibri" w:cs="Calibri"/>
                <w:i w:val="0"/>
                <w:color w:val="auto"/>
                <w:sz w:val="22"/>
                <w:szCs w:val="22"/>
              </w:rPr>
            </w:pPr>
            <w:r>
              <w:rPr>
                <w:rFonts w:ascii="Calibri" w:eastAsia="Calibri" w:hAnsi="Calibri" w:cs="Calibri"/>
                <w:i w:val="0"/>
                <w:color w:val="auto"/>
                <w:sz w:val="22"/>
                <w:szCs w:val="22"/>
              </w:rPr>
              <w:t>Publicación de la hoja de ruta</w:t>
            </w:r>
          </w:p>
        </w:tc>
        <w:tc>
          <w:tcPr>
            <w:tcW w:w="1417" w:type="dxa"/>
            <w:vAlign w:val="center"/>
          </w:tcPr>
          <w:p w14:paraId="06AED3C4" w14:textId="27E1B038" w:rsidR="00F5013D" w:rsidRDefault="00B03C35" w:rsidP="004E671A">
            <w:pPr>
              <w:jc w:val="center"/>
            </w:pPr>
            <w:r>
              <w:t>0%</w:t>
            </w:r>
          </w:p>
        </w:tc>
        <w:tc>
          <w:tcPr>
            <w:tcW w:w="3827" w:type="dxa"/>
          </w:tcPr>
          <w:p w14:paraId="24BCE3E5" w14:textId="0E270C32" w:rsidR="00F5013D" w:rsidRDefault="00571A76" w:rsidP="004E671A">
            <w:pPr>
              <w:jc w:val="both"/>
            </w:pPr>
            <w:r>
              <w:t>Sin avance.</w:t>
            </w:r>
          </w:p>
        </w:tc>
        <w:tc>
          <w:tcPr>
            <w:tcW w:w="1462" w:type="dxa"/>
            <w:vAlign w:val="center"/>
          </w:tcPr>
          <w:p w14:paraId="7D7F9C08" w14:textId="37308EEC" w:rsidR="00F5013D" w:rsidRDefault="00B03C35" w:rsidP="004E671A">
            <w:pPr>
              <w:jc w:val="center"/>
            </w:pPr>
            <w:r>
              <w:t>Enero 2022</w:t>
            </w:r>
          </w:p>
        </w:tc>
      </w:tr>
    </w:tbl>
    <w:p w14:paraId="2FA1960E" w14:textId="77777777" w:rsidR="00F5013D" w:rsidRDefault="00F5013D" w:rsidP="00F5013D">
      <w:pPr>
        <w:rPr>
          <w:b/>
        </w:rPr>
      </w:pPr>
    </w:p>
    <w:p w14:paraId="0508CB11" w14:textId="77777777" w:rsidR="00897AB1" w:rsidRDefault="00694A34"/>
    <w:sectPr w:rsidR="00897AB1">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5EFB9" w14:textId="77777777" w:rsidR="00694A34" w:rsidRDefault="00694A34" w:rsidP="00F5013D">
      <w:pPr>
        <w:spacing w:after="0" w:line="240" w:lineRule="auto"/>
      </w:pPr>
      <w:r>
        <w:separator/>
      </w:r>
    </w:p>
  </w:endnote>
  <w:endnote w:type="continuationSeparator" w:id="0">
    <w:p w14:paraId="49E39FD2" w14:textId="77777777" w:rsidR="00694A34" w:rsidRDefault="00694A34" w:rsidP="00F50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632F1" w14:textId="77777777" w:rsidR="00694A34" w:rsidRDefault="00694A34" w:rsidP="00F5013D">
      <w:pPr>
        <w:spacing w:after="0" w:line="240" w:lineRule="auto"/>
      </w:pPr>
      <w:r>
        <w:separator/>
      </w:r>
    </w:p>
  </w:footnote>
  <w:footnote w:type="continuationSeparator" w:id="0">
    <w:p w14:paraId="127AF493" w14:textId="77777777" w:rsidR="00694A34" w:rsidRDefault="00694A34" w:rsidP="00F50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8817" w14:textId="30BE936C" w:rsidR="00F5013D" w:rsidRDefault="00F5013D" w:rsidP="00F5013D">
    <w:pPr>
      <w:pStyle w:val="Encabezado"/>
      <w:tabs>
        <w:tab w:val="clear" w:pos="4419"/>
        <w:tab w:val="clear" w:pos="8838"/>
        <w:tab w:val="left" w:pos="4065"/>
      </w:tabs>
    </w:pPr>
    <w:r>
      <w:rPr>
        <w:noProof/>
      </w:rPr>
      <w:drawing>
        <wp:anchor distT="0" distB="0" distL="114300" distR="114300" simplePos="0" relativeHeight="251659264" behindDoc="0" locked="0" layoutInCell="1" allowOverlap="1" wp14:anchorId="391A9DF5" wp14:editId="648E4071">
          <wp:simplePos x="0" y="0"/>
          <wp:positionH relativeFrom="column">
            <wp:posOffset>-851535</wp:posOffset>
          </wp:positionH>
          <wp:positionV relativeFrom="paragraph">
            <wp:posOffset>-325755</wp:posOffset>
          </wp:positionV>
          <wp:extent cx="2196465" cy="837565"/>
          <wp:effectExtent l="0" t="0" r="0" b="0"/>
          <wp:wrapNone/>
          <wp:docPr id="12" name="Picture 2" descr="Interfaz de usuario gráfica, Texto&#10;&#10;Descripción generada automáticamente">
            <a:extLst xmlns:a="http://schemas.openxmlformats.org/drawingml/2006/main">
              <a:ext uri="{FF2B5EF4-FFF2-40B4-BE49-F238E27FC236}">
                <a16:creationId xmlns:a16="http://schemas.microsoft.com/office/drawing/2014/main" id="{54FC3A46-6614-B54A-8FD8-0B30D5E018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Interfaz de usuario gráfica, Texto&#10;&#10;Descripción generada automáticamente">
                    <a:extLst>
                      <a:ext uri="{FF2B5EF4-FFF2-40B4-BE49-F238E27FC236}">
                        <a16:creationId xmlns:a16="http://schemas.microsoft.com/office/drawing/2014/main" id="{54FC3A46-6614-B54A-8FD8-0B30D5E0182B}"/>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3339"/>
                  <a:stretch/>
                </pic:blipFill>
                <pic:spPr bwMode="auto">
                  <a:xfrm>
                    <a:off x="0" y="0"/>
                    <a:ext cx="2196465" cy="837565"/>
                  </a:xfrm>
                  <a:prstGeom prst="rect">
                    <a:avLst/>
                  </a:prstGeom>
                  <a:noFill/>
                  <a:ln>
                    <a:noFill/>
                  </a:ln>
                  <a:effectLst/>
                </pic:spPr>
              </pic:pic>
            </a:graphicData>
          </a:graphic>
        </wp:anchor>
      </w:drawing>
    </w:r>
    <w:r>
      <w:rPr>
        <w:noProof/>
        <w:color w:val="000000"/>
      </w:rPr>
      <w:drawing>
        <wp:anchor distT="0" distB="0" distL="114300" distR="114300" simplePos="0" relativeHeight="251660288" behindDoc="0" locked="0" layoutInCell="1" allowOverlap="1" wp14:anchorId="30C1BCE5" wp14:editId="4AD56E78">
          <wp:simplePos x="0" y="0"/>
          <wp:positionH relativeFrom="column">
            <wp:posOffset>5196840</wp:posOffset>
          </wp:positionH>
          <wp:positionV relativeFrom="paragraph">
            <wp:posOffset>-335280</wp:posOffset>
          </wp:positionV>
          <wp:extent cx="1332230" cy="828675"/>
          <wp:effectExtent l="0" t="0" r="1270" b="9525"/>
          <wp:wrapNone/>
          <wp:docPr id="3" name="image1.png" descr="C:\Users\cmontero\Desktop\nuevo-logo-ogp.png"/>
          <wp:cNvGraphicFramePr/>
          <a:graphic xmlns:a="http://schemas.openxmlformats.org/drawingml/2006/main">
            <a:graphicData uri="http://schemas.openxmlformats.org/drawingml/2006/picture">
              <pic:pic xmlns:pic="http://schemas.openxmlformats.org/drawingml/2006/picture">
                <pic:nvPicPr>
                  <pic:cNvPr id="0" name="image1.png" descr="C:\Users\cmontero\Desktop\nuevo-logo-ogp.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332230" cy="828675"/>
                  </a:xfrm>
                  <a:prstGeom prst="rect">
                    <a:avLst/>
                  </a:prstGeom>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23D6B"/>
    <w:multiLevelType w:val="hybridMultilevel"/>
    <w:tmpl w:val="DCD44F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694842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2B"/>
    <w:rsid w:val="001D73FB"/>
    <w:rsid w:val="002B3D9F"/>
    <w:rsid w:val="003B6D26"/>
    <w:rsid w:val="00464945"/>
    <w:rsid w:val="00571A76"/>
    <w:rsid w:val="00621A2B"/>
    <w:rsid w:val="00694A34"/>
    <w:rsid w:val="00854368"/>
    <w:rsid w:val="00B03C35"/>
    <w:rsid w:val="00E7580E"/>
    <w:rsid w:val="00EA4933"/>
    <w:rsid w:val="00F43BE5"/>
    <w:rsid w:val="00F501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339B1"/>
  <w15:chartTrackingRefBased/>
  <w15:docId w15:val="{00BA4A72-2BC7-447E-8F57-948A246D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13D"/>
    <w:pPr>
      <w:spacing w:after="200" w:line="276" w:lineRule="auto"/>
    </w:pPr>
    <w:rPr>
      <w:rFonts w:ascii="Calibri" w:eastAsia="Calibri" w:hAnsi="Calibri" w:cs="Calibri"/>
      <w:lang w:eastAsia="es-CL"/>
    </w:rPr>
  </w:style>
  <w:style w:type="paragraph" w:styleId="Ttulo1">
    <w:name w:val="heading 1"/>
    <w:basedOn w:val="Normal"/>
    <w:next w:val="Normal"/>
    <w:link w:val="Ttulo1Car"/>
    <w:uiPriority w:val="9"/>
    <w:qFormat/>
    <w:rsid w:val="00F5013D"/>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F5013D"/>
    <w:pPr>
      <w:keepNext/>
      <w:keepLines/>
      <w:spacing w:before="200" w:after="0"/>
      <w:outlineLvl w:val="1"/>
    </w:pPr>
    <w:rPr>
      <w:rFonts w:ascii="Cambria" w:eastAsia="Cambria" w:hAnsi="Cambria" w:cs="Cambria"/>
      <w:b/>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013D"/>
    <w:rPr>
      <w:rFonts w:ascii="Calibri" w:eastAsia="Calibri" w:hAnsi="Calibri" w:cs="Calibri"/>
      <w:b/>
      <w:sz w:val="48"/>
      <w:szCs w:val="48"/>
      <w:lang w:eastAsia="es-CL"/>
    </w:rPr>
  </w:style>
  <w:style w:type="character" w:customStyle="1" w:styleId="Ttulo2Car">
    <w:name w:val="Título 2 Car"/>
    <w:basedOn w:val="Fuentedeprrafopredeter"/>
    <w:link w:val="Ttulo2"/>
    <w:uiPriority w:val="9"/>
    <w:rsid w:val="00F5013D"/>
    <w:rPr>
      <w:rFonts w:ascii="Cambria" w:eastAsia="Cambria" w:hAnsi="Cambria" w:cs="Cambria"/>
      <w:b/>
      <w:color w:val="4F81BD"/>
      <w:sz w:val="26"/>
      <w:szCs w:val="26"/>
      <w:lang w:eastAsia="es-CL"/>
    </w:rPr>
  </w:style>
  <w:style w:type="paragraph" w:styleId="Subttulo">
    <w:name w:val="Subtitle"/>
    <w:basedOn w:val="Normal"/>
    <w:next w:val="Normal"/>
    <w:link w:val="SubttuloCar"/>
    <w:uiPriority w:val="11"/>
    <w:qFormat/>
    <w:rsid w:val="00F5013D"/>
    <w:rPr>
      <w:rFonts w:ascii="Cambria" w:eastAsia="Cambria" w:hAnsi="Cambria" w:cs="Cambria"/>
      <w:i/>
      <w:color w:val="4F81BD"/>
      <w:sz w:val="24"/>
      <w:szCs w:val="24"/>
    </w:rPr>
  </w:style>
  <w:style w:type="character" w:customStyle="1" w:styleId="SubttuloCar">
    <w:name w:val="Subtítulo Car"/>
    <w:basedOn w:val="Fuentedeprrafopredeter"/>
    <w:link w:val="Subttulo"/>
    <w:uiPriority w:val="11"/>
    <w:rsid w:val="00F5013D"/>
    <w:rPr>
      <w:rFonts w:ascii="Cambria" w:eastAsia="Cambria" w:hAnsi="Cambria" w:cs="Cambria"/>
      <w:i/>
      <w:color w:val="4F81BD"/>
      <w:sz w:val="24"/>
      <w:szCs w:val="24"/>
      <w:lang w:eastAsia="es-CL"/>
    </w:rPr>
  </w:style>
  <w:style w:type="paragraph" w:styleId="NormalWeb">
    <w:name w:val="Normal (Web)"/>
    <w:basedOn w:val="Normal"/>
    <w:uiPriority w:val="99"/>
    <w:unhideWhenUsed/>
    <w:rsid w:val="00F5013D"/>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F5013D"/>
    <w:rPr>
      <w:color w:val="0000FF"/>
      <w:u w:val="single"/>
    </w:rPr>
  </w:style>
  <w:style w:type="paragraph" w:styleId="Prrafodelista">
    <w:name w:val="List Paragraph"/>
    <w:basedOn w:val="Normal"/>
    <w:uiPriority w:val="34"/>
    <w:qFormat/>
    <w:rsid w:val="00F5013D"/>
    <w:pPr>
      <w:ind w:left="720"/>
      <w:contextualSpacing/>
    </w:pPr>
  </w:style>
  <w:style w:type="paragraph" w:styleId="Encabezado">
    <w:name w:val="header"/>
    <w:basedOn w:val="Normal"/>
    <w:link w:val="EncabezadoCar"/>
    <w:uiPriority w:val="99"/>
    <w:unhideWhenUsed/>
    <w:rsid w:val="00F501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013D"/>
    <w:rPr>
      <w:rFonts w:ascii="Calibri" w:eastAsia="Calibri" w:hAnsi="Calibri" w:cs="Calibri"/>
      <w:lang w:eastAsia="es-CL"/>
    </w:rPr>
  </w:style>
  <w:style w:type="paragraph" w:styleId="Piedepgina">
    <w:name w:val="footer"/>
    <w:basedOn w:val="Normal"/>
    <w:link w:val="PiedepginaCar"/>
    <w:uiPriority w:val="99"/>
    <w:unhideWhenUsed/>
    <w:rsid w:val="00F501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013D"/>
    <w:rPr>
      <w:rFonts w:ascii="Calibri" w:eastAsia="Calibri" w:hAnsi="Calibri" w:cs="Calibri"/>
      <w:lang w:eastAsia="es-CL"/>
    </w:rPr>
  </w:style>
  <w:style w:type="character" w:styleId="Mencinsinresolver">
    <w:name w:val="Unresolved Mention"/>
    <w:basedOn w:val="Fuentedeprrafopredeter"/>
    <w:uiPriority w:val="99"/>
    <w:semiHidden/>
    <w:unhideWhenUsed/>
    <w:rsid w:val="002B3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4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p.gob.cl/wp-content/uploads/2022/07/Propuesta-hoja-de-ruta-v5.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ogp.gob.c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5" ma:contentTypeDescription="Crear nuevo documento." ma:contentTypeScope="" ma:versionID="2dfb00d84d0687d533fb1d052e876c0e">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864fc1470d35393c68b1c8b787824072"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fb24940a-abbb-48ae-954c-cc65867d359c}"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Props1.xml><?xml version="1.0" encoding="utf-8"?>
<ds:datastoreItem xmlns:ds="http://schemas.openxmlformats.org/officeDocument/2006/customXml" ds:itemID="{A3BE180B-D626-40DE-A055-04C4524ED938}"/>
</file>

<file path=customXml/itemProps2.xml><?xml version="1.0" encoding="utf-8"?>
<ds:datastoreItem xmlns:ds="http://schemas.openxmlformats.org/officeDocument/2006/customXml" ds:itemID="{45CF6416-DF18-476C-AC22-48F5AF3F2DD1}"/>
</file>

<file path=customXml/itemProps3.xml><?xml version="1.0" encoding="utf-8"?>
<ds:datastoreItem xmlns:ds="http://schemas.openxmlformats.org/officeDocument/2006/customXml" ds:itemID="{D1619669-B2B6-477D-8898-0C8EA9C92AEE}"/>
</file>

<file path=docProps/app.xml><?xml version="1.0" encoding="utf-8"?>
<Properties xmlns="http://schemas.openxmlformats.org/officeDocument/2006/extended-properties" xmlns:vt="http://schemas.openxmlformats.org/officeDocument/2006/docPropsVTypes">
  <Template>Normal.dotm</Template>
  <TotalTime>40</TotalTime>
  <Pages>3</Pages>
  <Words>731</Words>
  <Characters>4026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Montero Meza</dc:creator>
  <cp:keywords/>
  <dc:description/>
  <cp:lastModifiedBy>Claudia Montero Meza</cp:lastModifiedBy>
  <cp:revision>3</cp:revision>
  <dcterms:created xsi:type="dcterms:W3CDTF">2022-07-07T13:31:00Z</dcterms:created>
  <dcterms:modified xsi:type="dcterms:W3CDTF">2022-07-07T14:14:00Z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ies>
</file>