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544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REPORTE DE AVANCE</w:t>
      </w:r>
    </w:p>
    <w:p w14:paraId="678134E1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 Plan de Acción de Gobierno Abierto</w:t>
      </w:r>
    </w:p>
    <w:p w14:paraId="62D677E6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Marzo 2022</w:t>
      </w:r>
    </w:p>
    <w:p w14:paraId="58C29C6D" w14:textId="77777777" w:rsidR="006D6326" w:rsidRDefault="00F4018B">
      <w:pPr>
        <w:rPr>
          <w:b/>
          <w:color w:val="4F81BD"/>
          <w:sz w:val="20"/>
          <w:szCs w:val="20"/>
          <w:u w:val="single"/>
        </w:rPr>
      </w:pPr>
      <w:r>
        <w:rPr>
          <w:b/>
          <w:color w:val="4F81BD"/>
          <w:sz w:val="20"/>
          <w:szCs w:val="20"/>
          <w:u w:val="single"/>
        </w:rPr>
        <w:t>Consideraciones generales</w:t>
      </w:r>
    </w:p>
    <w:p w14:paraId="3CF7F4B0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>El reporte sobre el avance de los compromisos es responsabilidad de cada institución.</w:t>
      </w:r>
    </w:p>
    <w:p w14:paraId="0F72DDC8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 xml:space="preserve">Cada servicio deberá enviar la información a la Comisión de Integridad Pública y Transparencia, organismo que se encargará de cargar los datos en </w:t>
      </w:r>
      <w:hyperlink r:id="rId7" w:history="1">
        <w:r>
          <w:rPr>
            <w:bCs/>
            <w:color w:val="4F81BD"/>
            <w:sz w:val="20"/>
            <w:szCs w:val="20"/>
          </w:rPr>
          <w:t>www.ogp.gob.cl</w:t>
        </w:r>
      </w:hyperlink>
      <w:r>
        <w:rPr>
          <w:bCs/>
          <w:color w:val="4F81BD"/>
          <w:sz w:val="20"/>
          <w:szCs w:val="20"/>
        </w:rPr>
        <w:t xml:space="preserve"> </w:t>
      </w:r>
    </w:p>
    <w:p w14:paraId="44B2ECF7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>La información que se debe reportar es por cada hito est</w:t>
      </w:r>
      <w:r>
        <w:rPr>
          <w:bCs/>
          <w:color w:val="4F81BD"/>
          <w:sz w:val="20"/>
          <w:szCs w:val="20"/>
        </w:rPr>
        <w:t xml:space="preserve">ablecido en la categoría “Actividad o producto entregable”. </w:t>
      </w:r>
    </w:p>
    <w:p w14:paraId="1F39991F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>En cada reporte se debe identificar claramente las fechas en que se ejecutó y en que se completó el hito. Si las fechas de cumplimiento son distintas a las comprometidas originalmente, esto se de</w:t>
      </w:r>
      <w:r>
        <w:rPr>
          <w:bCs/>
          <w:color w:val="4F81BD"/>
          <w:sz w:val="20"/>
          <w:szCs w:val="20"/>
        </w:rPr>
        <w:t xml:space="preserve">be informar y justificar los motivos de su retraso con el fin de identificar los desafíos internos de cada servicio.  </w:t>
      </w:r>
    </w:p>
    <w:p w14:paraId="7FB4087C" w14:textId="77777777" w:rsidR="006D6326" w:rsidRDefault="00F4018B">
      <w:pPr>
        <w:pStyle w:val="Prrafodelista"/>
        <w:numPr>
          <w:ilvl w:val="0"/>
          <w:numId w:val="1"/>
        </w:numPr>
        <w:jc w:val="both"/>
        <w:rPr>
          <w:bCs/>
          <w:color w:val="4F81BD"/>
          <w:sz w:val="20"/>
          <w:szCs w:val="20"/>
        </w:rPr>
      </w:pPr>
      <w:r>
        <w:rPr>
          <w:bCs/>
          <w:color w:val="4F81BD"/>
          <w:sz w:val="20"/>
          <w:szCs w:val="20"/>
        </w:rPr>
        <w:t>Cada hito debe contar con medios de verificación que garanticen su cumplimiento. Estos pueden ser informes, reportes, resoluciones, decre</w:t>
      </w:r>
      <w:r>
        <w:rPr>
          <w:bCs/>
          <w:color w:val="4F81BD"/>
          <w:sz w:val="20"/>
          <w:szCs w:val="20"/>
        </w:rPr>
        <w:t xml:space="preserve">tos, páginas web o plataformas, noticias, fotografías, entre otros. </w:t>
      </w:r>
    </w:p>
    <w:p w14:paraId="38B66F2A" w14:textId="77777777" w:rsidR="006D6326" w:rsidRDefault="00F4018B">
      <w:pPr>
        <w:jc w:val="both"/>
        <w:rPr>
          <w:b/>
          <w:color w:val="4F81BD"/>
          <w:sz w:val="20"/>
          <w:szCs w:val="20"/>
          <w:u w:val="single"/>
        </w:rPr>
      </w:pPr>
      <w:r>
        <w:rPr>
          <w:b/>
          <w:color w:val="4F81BD"/>
          <w:sz w:val="20"/>
          <w:szCs w:val="20"/>
          <w:u w:val="single"/>
        </w:rPr>
        <w:t>Niveles de cumplimiento</w:t>
      </w:r>
      <w:r>
        <w:rPr>
          <w:bCs/>
          <w:color w:val="4F81BD"/>
          <w:sz w:val="20"/>
          <w:szCs w:val="20"/>
        </w:rPr>
        <w:tab/>
      </w:r>
      <w:r>
        <w:rPr>
          <w:bCs/>
          <w:color w:val="4F81BD"/>
          <w:sz w:val="20"/>
          <w:szCs w:val="20"/>
        </w:rPr>
        <w:tab/>
      </w:r>
      <w:r>
        <w:rPr>
          <w:bCs/>
          <w:color w:val="4F81BD"/>
          <w:sz w:val="20"/>
          <w:szCs w:val="20"/>
        </w:rPr>
        <w:tab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5184"/>
      </w:tblGrid>
      <w:tr w:rsidR="006D6326" w14:paraId="46E376C8" w14:textId="77777777">
        <w:tc>
          <w:tcPr>
            <w:tcW w:w="2093" w:type="dxa"/>
          </w:tcPr>
          <w:p w14:paraId="49D36A4F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Categoría</w:t>
            </w:r>
          </w:p>
        </w:tc>
        <w:tc>
          <w:tcPr>
            <w:tcW w:w="1701" w:type="dxa"/>
          </w:tcPr>
          <w:p w14:paraId="4EA2408D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Porcentaje</w:t>
            </w:r>
          </w:p>
        </w:tc>
        <w:tc>
          <w:tcPr>
            <w:tcW w:w="5184" w:type="dxa"/>
          </w:tcPr>
          <w:p w14:paraId="4193319F" w14:textId="77777777" w:rsidR="006D6326" w:rsidRDefault="00F401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Descripción</w:t>
            </w:r>
          </w:p>
        </w:tc>
      </w:tr>
      <w:tr w:rsidR="006D6326" w14:paraId="449474AE" w14:textId="77777777">
        <w:tc>
          <w:tcPr>
            <w:tcW w:w="2093" w:type="dxa"/>
            <w:shd w:val="clear" w:color="auto" w:fill="C0504D"/>
          </w:tcPr>
          <w:p w14:paraId="1F509E3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No iniciado</w:t>
            </w:r>
          </w:p>
        </w:tc>
        <w:tc>
          <w:tcPr>
            <w:tcW w:w="1701" w:type="dxa"/>
            <w:shd w:val="clear" w:color="auto" w:fill="C0504D"/>
          </w:tcPr>
          <w:p w14:paraId="72D2695C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0%</w:t>
            </w:r>
          </w:p>
        </w:tc>
        <w:tc>
          <w:tcPr>
            <w:tcW w:w="5184" w:type="dxa"/>
            <w:shd w:val="clear" w:color="auto" w:fill="C0504D"/>
          </w:tcPr>
          <w:p w14:paraId="0D20F645" w14:textId="77777777" w:rsidR="006D6326" w:rsidRDefault="00F4018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 hito no presenta ningún avance para la consecución del producto comprometido.</w:t>
            </w:r>
          </w:p>
        </w:tc>
      </w:tr>
      <w:tr w:rsidR="006D6326" w14:paraId="01B72889" w14:textId="77777777">
        <w:tc>
          <w:tcPr>
            <w:tcW w:w="2093" w:type="dxa"/>
            <w:shd w:val="clear" w:color="auto" w:fill="F79646"/>
          </w:tcPr>
          <w:p w14:paraId="0E4D1938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limitado</w:t>
            </w:r>
          </w:p>
          <w:p w14:paraId="3ECD434C" w14:textId="77777777" w:rsidR="006D6326" w:rsidRDefault="006D632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9646"/>
          </w:tcPr>
          <w:p w14:paraId="639B9F29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25%</w:t>
            </w:r>
          </w:p>
        </w:tc>
        <w:tc>
          <w:tcPr>
            <w:tcW w:w="5184" w:type="dxa"/>
            <w:shd w:val="clear" w:color="auto" w:fill="F79646"/>
          </w:tcPr>
          <w:p w14:paraId="6435DEF4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presenta un nivel mínimo de avance. Corresponde a las primeras tareas ejecutadas, las cuales pueden ser los primeros avances para su implementación, como reuniones de coordinación y tareas administrativas.  </w:t>
            </w:r>
          </w:p>
        </w:tc>
      </w:tr>
      <w:tr w:rsidR="006D6326" w14:paraId="566AC5DC" w14:textId="77777777">
        <w:tc>
          <w:tcPr>
            <w:tcW w:w="2093" w:type="dxa"/>
            <w:shd w:val="clear" w:color="auto" w:fill="CCFF66"/>
          </w:tcPr>
          <w:p w14:paraId="6A9AC6D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medio</w:t>
            </w:r>
          </w:p>
        </w:tc>
        <w:tc>
          <w:tcPr>
            <w:tcW w:w="1701" w:type="dxa"/>
            <w:shd w:val="clear" w:color="auto" w:fill="CCFF66"/>
          </w:tcPr>
          <w:p w14:paraId="4ECB135A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50%</w:t>
            </w:r>
          </w:p>
        </w:tc>
        <w:tc>
          <w:tcPr>
            <w:tcW w:w="5184" w:type="dxa"/>
            <w:shd w:val="clear" w:color="auto" w:fill="CCFF66"/>
          </w:tcPr>
          <w:p w14:paraId="5FB24E18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la mitad de su implementación. Ya se iniciaron tareas concretas para su desarrollo, pero aún no se presentan avances significativos para el logro de lo comprometido.  </w:t>
            </w:r>
          </w:p>
        </w:tc>
      </w:tr>
      <w:tr w:rsidR="006D6326" w14:paraId="76F54B28" w14:textId="77777777">
        <w:tc>
          <w:tcPr>
            <w:tcW w:w="2093" w:type="dxa"/>
            <w:shd w:val="clear" w:color="auto" w:fill="4F81BD"/>
          </w:tcPr>
          <w:p w14:paraId="59356C47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Avance sustancial</w:t>
            </w:r>
          </w:p>
        </w:tc>
        <w:tc>
          <w:tcPr>
            <w:tcW w:w="1701" w:type="dxa"/>
            <w:shd w:val="clear" w:color="auto" w:fill="4F81BD"/>
          </w:tcPr>
          <w:p w14:paraId="7187B416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75%</w:t>
            </w:r>
          </w:p>
        </w:tc>
        <w:tc>
          <w:tcPr>
            <w:tcW w:w="5184" w:type="dxa"/>
            <w:shd w:val="clear" w:color="auto" w:fill="4F81BD"/>
          </w:tcPr>
          <w:p w14:paraId="7E149717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un estado avanzado de la implementación. Se observan indicios de los productos comprometidos con avance aceptable. </w:t>
            </w:r>
          </w:p>
        </w:tc>
      </w:tr>
      <w:tr w:rsidR="006D6326" w14:paraId="6FA4F7BA" w14:textId="77777777">
        <w:trPr>
          <w:trHeight w:val="60"/>
        </w:trPr>
        <w:tc>
          <w:tcPr>
            <w:tcW w:w="2093" w:type="dxa"/>
            <w:shd w:val="clear" w:color="auto" w:fill="00B050"/>
          </w:tcPr>
          <w:p w14:paraId="3B513CD6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Completo</w:t>
            </w:r>
          </w:p>
        </w:tc>
        <w:tc>
          <w:tcPr>
            <w:tcW w:w="1701" w:type="dxa"/>
            <w:shd w:val="clear" w:color="auto" w:fill="00B050"/>
          </w:tcPr>
          <w:p w14:paraId="3697A899" w14:textId="77777777" w:rsidR="006D6326" w:rsidRDefault="00F4018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100%</w:t>
            </w:r>
          </w:p>
        </w:tc>
        <w:tc>
          <w:tcPr>
            <w:tcW w:w="5184" w:type="dxa"/>
            <w:shd w:val="clear" w:color="auto" w:fill="00B050"/>
          </w:tcPr>
          <w:p w14:paraId="732BBAAA" w14:textId="77777777" w:rsidR="006D6326" w:rsidRDefault="00F4018B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El hito se encuentra cumplido en su cabalidad y se presentan los resultados esperados dentro del peri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odo de implementación del Plan de Acción (hasta junio de 2020). </w:t>
            </w:r>
          </w:p>
        </w:tc>
      </w:tr>
    </w:tbl>
    <w:p w14:paraId="26C09109" w14:textId="77777777" w:rsidR="006D6326" w:rsidRDefault="006D6326">
      <w:pPr>
        <w:jc w:val="both"/>
        <w:rPr>
          <w:bCs/>
          <w:color w:val="4F81BD"/>
          <w:sz w:val="20"/>
          <w:szCs w:val="20"/>
        </w:rPr>
      </w:pPr>
    </w:p>
    <w:p w14:paraId="4488C07D" w14:textId="77777777" w:rsidR="006D6326" w:rsidRDefault="00F4018B">
      <w:pPr>
        <w:pStyle w:val="Ttulo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REPORTE DE CUMPLIMIENTO</w:t>
      </w:r>
    </w:p>
    <w:p w14:paraId="4D4D5A6B" w14:textId="77777777" w:rsidR="006D6326" w:rsidRDefault="006D6326"/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1"/>
        <w:gridCol w:w="2001"/>
        <w:gridCol w:w="2492"/>
        <w:gridCol w:w="2054"/>
      </w:tblGrid>
      <w:tr w:rsidR="006D6326" w14:paraId="6A9B83D7" w14:textId="77777777">
        <w:tc>
          <w:tcPr>
            <w:tcW w:w="2918" w:type="dxa"/>
            <w:shd w:val="clear" w:color="auto" w:fill="8DB3E2"/>
          </w:tcPr>
          <w:p w14:paraId="2B92A100" w14:textId="77777777" w:rsidR="006D6326" w:rsidRDefault="00F401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Categoría</w:t>
            </w:r>
          </w:p>
        </w:tc>
        <w:tc>
          <w:tcPr>
            <w:tcW w:w="10078" w:type="dxa"/>
            <w:gridSpan w:val="3"/>
            <w:shd w:val="clear" w:color="auto" w:fill="8DB3E2"/>
          </w:tcPr>
          <w:p w14:paraId="33374695" w14:textId="77777777" w:rsidR="006D6326" w:rsidRDefault="00F4018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Información</w:t>
            </w:r>
          </w:p>
        </w:tc>
      </w:tr>
      <w:tr w:rsidR="006D6326" w14:paraId="047C263B" w14:textId="77777777">
        <w:trPr>
          <w:trHeight w:val="760"/>
        </w:trPr>
        <w:tc>
          <w:tcPr>
            <w:tcW w:w="2918" w:type="dxa"/>
          </w:tcPr>
          <w:p w14:paraId="6B1DB468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10078" w:type="dxa"/>
            <w:gridSpan w:val="3"/>
          </w:tcPr>
          <w:p w14:paraId="6D9EE9CC" w14:textId="77777777" w:rsidR="006D6326" w:rsidRDefault="00F4018B">
            <w:pPr>
              <w:jc w:val="both"/>
              <w:rPr>
                <w:rFonts w:ascii="Montserrat" w:hAnsi="Montserrat"/>
                <w:color w:val="212529"/>
                <w:sz w:val="54"/>
                <w:szCs w:val="54"/>
              </w:rPr>
            </w:pPr>
            <w:r>
              <w:t>Fomentar, impulsar y aumentar la inversión pública en Infraestructura Peatonal y Ciclo-Inclusiva.</w:t>
            </w:r>
          </w:p>
        </w:tc>
      </w:tr>
      <w:tr w:rsidR="006D6326" w14:paraId="4D0FCBD2" w14:textId="77777777">
        <w:tc>
          <w:tcPr>
            <w:tcW w:w="2918" w:type="dxa"/>
          </w:tcPr>
          <w:p w14:paraId="29D3674C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10078" w:type="dxa"/>
            <w:gridSpan w:val="3"/>
          </w:tcPr>
          <w:p w14:paraId="2E2E9B7D" w14:textId="77777777" w:rsidR="006D6326" w:rsidRDefault="00F4018B">
            <w:pPr>
              <w:jc w:val="both"/>
            </w:pPr>
            <w:bookmarkStart w:id="0" w:name="_gjdgxs" w:colFirst="0" w:colLast="0"/>
            <w:bookmarkEnd w:id="0"/>
            <w:r>
              <w:br/>
              <w:t>División de Desarrollo Urbano del Ministerio de Vivienda y Urbanismo</w:t>
            </w:r>
          </w:p>
        </w:tc>
      </w:tr>
      <w:tr w:rsidR="006D6326" w14:paraId="2F608ED3" w14:textId="77777777">
        <w:tc>
          <w:tcPr>
            <w:tcW w:w="2918" w:type="dxa"/>
          </w:tcPr>
          <w:p w14:paraId="720B2714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10078" w:type="dxa"/>
            <w:gridSpan w:val="3"/>
          </w:tcPr>
          <w:p w14:paraId="30E72AC5" w14:textId="77777777" w:rsidR="006D6326" w:rsidRDefault="00F4018B">
            <w:pPr>
              <w:pStyle w:val="NormalWeb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Aumentar la inversión en infraestructura peatonal y ciclo-inclusiva, principalmente el financiamiento y construcción de ciclovías táct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 y definitivas, veredas y rutas peatonales, zonas de intercambio modal y habilitación de Zonas de Tránsito Calmado.</w:t>
            </w:r>
          </w:p>
        </w:tc>
      </w:tr>
      <w:tr w:rsidR="006D6326" w14:paraId="77F3F058" w14:textId="77777777">
        <w:tc>
          <w:tcPr>
            <w:tcW w:w="2918" w:type="dxa"/>
          </w:tcPr>
          <w:p w14:paraId="26540487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10078" w:type="dxa"/>
            <w:gridSpan w:val="3"/>
          </w:tcPr>
          <w:p w14:paraId="003E7AA6" w14:textId="77777777" w:rsidR="006D6326" w:rsidRDefault="006D6326">
            <w:pPr>
              <w:jc w:val="both"/>
            </w:pPr>
          </w:p>
        </w:tc>
      </w:tr>
      <w:tr w:rsidR="006D6326" w14:paraId="29F8FFF4" w14:textId="77777777">
        <w:tc>
          <w:tcPr>
            <w:tcW w:w="12996" w:type="dxa"/>
            <w:gridSpan w:val="4"/>
            <w:shd w:val="clear" w:color="auto" w:fill="F79646"/>
          </w:tcPr>
          <w:p w14:paraId="64584918" w14:textId="77777777" w:rsidR="006D6326" w:rsidRDefault="00F4018B">
            <w:pPr>
              <w:jc w:val="center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>Seguimiento por actividad</w:t>
            </w:r>
          </w:p>
        </w:tc>
      </w:tr>
      <w:tr w:rsidR="006D6326" w14:paraId="4D956DEA" w14:textId="77777777">
        <w:trPr>
          <w:trHeight w:val="400"/>
        </w:trPr>
        <w:tc>
          <w:tcPr>
            <w:tcW w:w="2918" w:type="dxa"/>
          </w:tcPr>
          <w:p w14:paraId="507FEC23" w14:textId="77777777" w:rsidR="006D6326" w:rsidRDefault="00F4018B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3695" w:type="dxa"/>
          </w:tcPr>
          <w:p w14:paraId="5692D2E8" w14:textId="77777777" w:rsidR="006D6326" w:rsidRDefault="00F4018B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089" w:type="dxa"/>
          </w:tcPr>
          <w:p w14:paraId="59B1E01A" w14:textId="77777777" w:rsidR="006D6326" w:rsidRDefault="00F4018B">
            <w:pPr>
              <w:pStyle w:val="Subttulo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3294" w:type="dxa"/>
          </w:tcPr>
          <w:p w14:paraId="17EF2CC6" w14:textId="77777777" w:rsidR="006D6326" w:rsidRDefault="00F4018B">
            <w:pPr>
              <w:pStyle w:val="Subttulo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Plazo</w:t>
            </w:r>
          </w:p>
        </w:tc>
      </w:tr>
      <w:tr w:rsidR="006D6326" w14:paraId="257B594D" w14:textId="77777777">
        <w:trPr>
          <w:trHeight w:val="580"/>
        </w:trPr>
        <w:tc>
          <w:tcPr>
            <w:tcW w:w="2918" w:type="dxa"/>
          </w:tcPr>
          <w:p w14:paraId="78A6768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Coordinar una agenda de ajustes normativos necesarios para llevar adelante el compromiso.</w:t>
            </w:r>
          </w:p>
        </w:tc>
        <w:tc>
          <w:tcPr>
            <w:tcW w:w="3695" w:type="dxa"/>
          </w:tcPr>
          <w:p w14:paraId="251D4487" w14:textId="77777777" w:rsidR="006D6326" w:rsidRDefault="006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6EDAA6B6" w14:textId="77777777" w:rsidR="006D6326" w:rsidRDefault="006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553A92BF" w14:textId="77777777" w:rsidR="006D6326" w:rsidRDefault="00F4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431C8254" w14:textId="77777777" w:rsidR="006D6326" w:rsidRDefault="00F4018B">
            <w:pPr>
              <w:jc w:val="both"/>
            </w:pPr>
            <w:r>
              <w:t>Proyecto DS N°</w:t>
            </w:r>
            <w:r>
              <w:t xml:space="preserve"> 03 2022 del Ministerio de Vivienda y Urbanismo, que modifica OGUC en materia de ciclovías</w:t>
            </w:r>
          </w:p>
          <w:p w14:paraId="37C09B4B" w14:textId="77777777" w:rsidR="006D6326" w:rsidRDefault="00F4018B">
            <w:pPr>
              <w:jc w:val="both"/>
            </w:pPr>
            <w:r>
              <w:t>Proyecto DS N° 35 2021 del Ministerio de Transportes y Telecomunicaciones, que modifica reglamento de los servicios nacionales de transporte público de pasajeros.</w:t>
            </w:r>
          </w:p>
        </w:tc>
        <w:tc>
          <w:tcPr>
            <w:tcW w:w="3294" w:type="dxa"/>
          </w:tcPr>
          <w:p w14:paraId="731270B9" w14:textId="77777777" w:rsidR="006D6326" w:rsidRDefault="00F4018B">
            <w:pPr>
              <w:jc w:val="both"/>
            </w:pPr>
            <w:r>
              <w:t>31</w:t>
            </w:r>
            <w:r>
              <w:t>.12.2022</w:t>
            </w:r>
          </w:p>
        </w:tc>
      </w:tr>
      <w:tr w:rsidR="006D6326" w14:paraId="0EB5804C" w14:textId="77777777">
        <w:tc>
          <w:tcPr>
            <w:tcW w:w="2918" w:type="dxa"/>
          </w:tcPr>
          <w:p w14:paraId="081DAEA0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Difundir e incorporar principios de movilidad sustentable entre distintos programas de </w:t>
            </w: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inversión del MINVU (RAC, PUH, PQMB, etc).</w:t>
            </w:r>
          </w:p>
        </w:tc>
        <w:tc>
          <w:tcPr>
            <w:tcW w:w="3695" w:type="dxa"/>
          </w:tcPr>
          <w:p w14:paraId="75C0E6D2" w14:textId="77777777" w:rsidR="006D6326" w:rsidRDefault="006D6326">
            <w:pPr>
              <w:jc w:val="center"/>
            </w:pPr>
          </w:p>
          <w:p w14:paraId="0463F70F" w14:textId="77777777" w:rsidR="006D6326" w:rsidRDefault="006D6326">
            <w:pPr>
              <w:jc w:val="center"/>
            </w:pPr>
          </w:p>
          <w:p w14:paraId="0A09BC2A" w14:textId="77777777" w:rsidR="006D6326" w:rsidRDefault="00F4018B">
            <w:pPr>
              <w:jc w:val="center"/>
            </w:pPr>
            <w:r>
              <w:lastRenderedPageBreak/>
              <w:t>50</w:t>
            </w:r>
          </w:p>
        </w:tc>
        <w:tc>
          <w:tcPr>
            <w:tcW w:w="3089" w:type="dxa"/>
          </w:tcPr>
          <w:p w14:paraId="32845633" w14:textId="77777777" w:rsidR="006D6326" w:rsidRDefault="00F4018B">
            <w:pPr>
              <w:jc w:val="both"/>
            </w:pPr>
            <w:r>
              <w:lastRenderedPageBreak/>
              <w:t xml:space="preserve">Ords. 0538, 0539 y 0540 del 17/12/2021 del Jefe División de Desarrollo Urbano, que envía </w:t>
            </w:r>
            <w:proofErr w:type="gramStart"/>
            <w:r>
              <w:lastRenderedPageBreak/>
              <w:t>principios  y</w:t>
            </w:r>
            <w:proofErr w:type="gramEnd"/>
            <w:r>
              <w:t xml:space="preserve"> solucion</w:t>
            </w:r>
            <w:r>
              <w:t>es de diseño para la movilidad sustentable en distintos programas del MINVU</w:t>
            </w:r>
          </w:p>
        </w:tc>
        <w:tc>
          <w:tcPr>
            <w:tcW w:w="3294" w:type="dxa"/>
          </w:tcPr>
          <w:p w14:paraId="19EBAC2F" w14:textId="77777777" w:rsidR="006D6326" w:rsidRDefault="00F401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31.05.2022</w:t>
            </w:r>
          </w:p>
          <w:p w14:paraId="01394FC2" w14:textId="489927BA" w:rsidR="006D6326" w:rsidRDefault="00F4018B">
            <w:pPr>
              <w:jc w:val="both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Acción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recurrente</w:t>
            </w:r>
            <w:proofErr w:type="spellEnd"/>
            <w:r>
              <w:rPr>
                <w:lang w:val="en-US"/>
              </w:rPr>
              <w:t xml:space="preserve"> de</w:t>
            </w:r>
            <w:r w:rsidR="00987C0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modo </w:t>
            </w:r>
            <w:proofErr w:type="spellStart"/>
            <w:r>
              <w:rPr>
                <w:lang w:val="en-US"/>
              </w:rPr>
              <w:t>anual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previo</w:t>
            </w:r>
            <w:proofErr w:type="spellEnd"/>
            <w:r>
              <w:rPr>
                <w:lang w:val="en-US"/>
              </w:rPr>
              <w:t xml:space="preserve"> a proceso PEGIR)</w:t>
            </w:r>
          </w:p>
        </w:tc>
      </w:tr>
      <w:tr w:rsidR="006D6326" w14:paraId="45C821B5" w14:textId="77777777">
        <w:tc>
          <w:tcPr>
            <w:tcW w:w="2918" w:type="dxa"/>
          </w:tcPr>
          <w:p w14:paraId="6407ADA3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Hacer seminarios y capacitación técnica sobre temas de movilidad sustentable.</w:t>
            </w:r>
          </w:p>
        </w:tc>
        <w:tc>
          <w:tcPr>
            <w:tcW w:w="3695" w:type="dxa"/>
          </w:tcPr>
          <w:p w14:paraId="159D3D3E" w14:textId="77777777" w:rsidR="006D6326" w:rsidRDefault="006D6326">
            <w:pPr>
              <w:jc w:val="center"/>
            </w:pPr>
          </w:p>
          <w:p w14:paraId="4C43286C" w14:textId="77777777" w:rsidR="006D6326" w:rsidRDefault="00F4018B">
            <w:pPr>
              <w:jc w:val="center"/>
            </w:pPr>
            <w:r>
              <w:t>25</w:t>
            </w:r>
          </w:p>
          <w:p w14:paraId="47729A37" w14:textId="77777777" w:rsidR="006D6326" w:rsidRDefault="006D6326">
            <w:pPr>
              <w:jc w:val="center"/>
            </w:pPr>
          </w:p>
        </w:tc>
        <w:tc>
          <w:tcPr>
            <w:tcW w:w="3089" w:type="dxa"/>
          </w:tcPr>
          <w:p w14:paraId="129307CD" w14:textId="77777777" w:rsidR="006D6326" w:rsidRDefault="00F4018B">
            <w:pPr>
              <w:jc w:val="both"/>
            </w:pPr>
            <w:r>
              <w:t xml:space="preserve">Ord. 0137 del </w:t>
            </w:r>
            <w:r>
              <w:t>31/03/2022 que envía láminas con soluciones tipo para rebajes peatonales, aceras continuas, calles niveladas y plataformas, para su incorporación en los proyectos del plan de inversión “Normalización y Mejoramiento de Rutas Peatonales”.</w:t>
            </w:r>
          </w:p>
        </w:tc>
        <w:tc>
          <w:tcPr>
            <w:tcW w:w="3294" w:type="dxa"/>
          </w:tcPr>
          <w:p w14:paraId="2D9EF274" w14:textId="77777777" w:rsidR="006D6326" w:rsidRDefault="00F4018B">
            <w:pPr>
              <w:jc w:val="both"/>
            </w:pPr>
            <w:r>
              <w:rPr>
                <w:lang w:val="en-US"/>
              </w:rPr>
              <w:t>31.12.2022</w:t>
            </w:r>
          </w:p>
        </w:tc>
      </w:tr>
      <w:tr w:rsidR="006D6326" w14:paraId="4BD0AEB2" w14:textId="77777777">
        <w:tc>
          <w:tcPr>
            <w:tcW w:w="2918" w:type="dxa"/>
          </w:tcPr>
          <w:p w14:paraId="29C2073B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Conform</w:t>
            </w: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ación, coordinación y seguimiento de una Mesa Técnica para la creación de una Guía de Recomendaciones de Diseño para Zonas de Tránsito Calmado, en conjunto con la Comisión de Seguridad de Tránsito, CONASET.</w:t>
            </w:r>
          </w:p>
        </w:tc>
        <w:tc>
          <w:tcPr>
            <w:tcW w:w="3695" w:type="dxa"/>
          </w:tcPr>
          <w:p w14:paraId="139C1A2F" w14:textId="77777777" w:rsidR="006D6326" w:rsidRDefault="006D6326">
            <w:pPr>
              <w:jc w:val="center"/>
            </w:pPr>
          </w:p>
          <w:p w14:paraId="66A535F1" w14:textId="77777777" w:rsidR="006D6326" w:rsidRDefault="006D6326">
            <w:pPr>
              <w:jc w:val="center"/>
            </w:pPr>
          </w:p>
          <w:p w14:paraId="6B135995" w14:textId="77777777" w:rsidR="006D6326" w:rsidRDefault="006D6326">
            <w:pPr>
              <w:jc w:val="center"/>
            </w:pPr>
          </w:p>
          <w:p w14:paraId="60608CB5" w14:textId="77777777" w:rsidR="006D6326" w:rsidRDefault="00F4018B">
            <w:pPr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7302E506" w14:textId="77777777" w:rsidR="006D6326" w:rsidRDefault="00F4018B">
            <w:pPr>
              <w:jc w:val="both"/>
            </w:pPr>
            <w:r>
              <w:t xml:space="preserve">Matriz de Medidas acordadas con comisiones </w:t>
            </w:r>
          </w:p>
        </w:tc>
        <w:tc>
          <w:tcPr>
            <w:tcW w:w="3294" w:type="dxa"/>
          </w:tcPr>
          <w:p w14:paraId="51191F40" w14:textId="77777777" w:rsidR="006D6326" w:rsidRDefault="00F4018B">
            <w:pPr>
              <w:jc w:val="both"/>
            </w:pPr>
            <w:r>
              <w:rPr>
                <w:lang w:val="en-US"/>
              </w:rPr>
              <w:t>31.12.2022</w:t>
            </w:r>
          </w:p>
        </w:tc>
      </w:tr>
      <w:tr w:rsidR="006D6326" w14:paraId="6BA7233D" w14:textId="77777777">
        <w:tc>
          <w:tcPr>
            <w:tcW w:w="2918" w:type="dxa"/>
          </w:tcPr>
          <w:p w14:paraId="1FCAB157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Fortalecer el equipo de Movilidad Sustentable del MINVU.</w:t>
            </w:r>
          </w:p>
        </w:tc>
        <w:tc>
          <w:tcPr>
            <w:tcW w:w="3695" w:type="dxa"/>
          </w:tcPr>
          <w:p w14:paraId="3E0225CE" w14:textId="77777777" w:rsidR="006D6326" w:rsidRDefault="006D6326">
            <w:pPr>
              <w:jc w:val="center"/>
            </w:pPr>
          </w:p>
          <w:p w14:paraId="73712973" w14:textId="77777777" w:rsidR="006D6326" w:rsidRDefault="00F4018B">
            <w:pPr>
              <w:jc w:val="center"/>
            </w:pPr>
            <w:r>
              <w:t>0</w:t>
            </w:r>
          </w:p>
        </w:tc>
        <w:tc>
          <w:tcPr>
            <w:tcW w:w="3089" w:type="dxa"/>
          </w:tcPr>
          <w:p w14:paraId="575003E8" w14:textId="3695DA4B" w:rsidR="006D6326" w:rsidRDefault="006D6326">
            <w:pPr>
              <w:jc w:val="both"/>
              <w:rPr>
                <w:highlight w:val="yellow"/>
              </w:rPr>
            </w:pPr>
          </w:p>
        </w:tc>
        <w:tc>
          <w:tcPr>
            <w:tcW w:w="3294" w:type="dxa"/>
          </w:tcPr>
          <w:p w14:paraId="33B2C11C" w14:textId="77777777" w:rsidR="006D6326" w:rsidRDefault="00F4018B">
            <w:pPr>
              <w:jc w:val="both"/>
            </w:pPr>
            <w:r>
              <w:rPr>
                <w:lang w:val="en-US"/>
              </w:rPr>
              <w:t>31.12.2022</w:t>
            </w:r>
          </w:p>
        </w:tc>
      </w:tr>
      <w:tr w:rsidR="006D6326" w14:paraId="453A5960" w14:textId="77777777">
        <w:tc>
          <w:tcPr>
            <w:tcW w:w="2918" w:type="dxa"/>
          </w:tcPr>
          <w:p w14:paraId="05FFD3B9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Crear la instancia de mesa regional de coordinación de inversiones en Movilidad Sustentable con representantes de </w:t>
            </w: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la sociedad civil y de otros servicios e instituciones públicas y privadas.</w:t>
            </w:r>
          </w:p>
        </w:tc>
        <w:tc>
          <w:tcPr>
            <w:tcW w:w="3695" w:type="dxa"/>
          </w:tcPr>
          <w:p w14:paraId="426A1DB9" w14:textId="77777777" w:rsidR="006D6326" w:rsidRDefault="006D6326">
            <w:pPr>
              <w:jc w:val="center"/>
            </w:pPr>
          </w:p>
          <w:p w14:paraId="7C0320EA" w14:textId="77777777" w:rsidR="006D6326" w:rsidRDefault="006D6326">
            <w:pPr>
              <w:jc w:val="center"/>
            </w:pPr>
          </w:p>
          <w:p w14:paraId="1F12A1A1" w14:textId="77777777" w:rsidR="006D6326" w:rsidRDefault="006D6326">
            <w:pPr>
              <w:jc w:val="center"/>
            </w:pPr>
          </w:p>
          <w:p w14:paraId="28CF5144" w14:textId="77777777" w:rsidR="006D6326" w:rsidRDefault="00F4018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089" w:type="dxa"/>
          </w:tcPr>
          <w:p w14:paraId="346D64E3" w14:textId="77777777" w:rsidR="006D6326" w:rsidRDefault="00F4018B">
            <w:pPr>
              <w:jc w:val="both"/>
            </w:pPr>
            <w:r>
              <w:lastRenderedPageBreak/>
              <w:t xml:space="preserve">Ord 0253 del 15/06/2021 del </w:t>
            </w:r>
            <w:proofErr w:type="gramStart"/>
            <w:r>
              <w:t>Jefe</w:t>
            </w:r>
            <w:proofErr w:type="gramEnd"/>
            <w:r>
              <w:t xml:space="preserve"> División de Desarrollo Urb</w:t>
            </w:r>
            <w:r>
              <w:t>ano</w:t>
            </w:r>
          </w:p>
          <w:p w14:paraId="63C4215E" w14:textId="77777777" w:rsidR="006D6326" w:rsidRDefault="006D6326">
            <w:pPr>
              <w:jc w:val="both"/>
            </w:pPr>
          </w:p>
          <w:p w14:paraId="7641093C" w14:textId="77777777" w:rsidR="006D6326" w:rsidRDefault="00F4018B">
            <w:pPr>
              <w:jc w:val="both"/>
            </w:pPr>
            <w:r>
              <w:lastRenderedPageBreak/>
              <w:t>Calendario de Mesas Regionales de Movilidad realizadas y programadas</w:t>
            </w:r>
          </w:p>
        </w:tc>
        <w:tc>
          <w:tcPr>
            <w:tcW w:w="3294" w:type="dxa"/>
          </w:tcPr>
          <w:p w14:paraId="380C26D4" w14:textId="77777777" w:rsidR="006D6326" w:rsidRDefault="00F4018B">
            <w:pPr>
              <w:jc w:val="both"/>
            </w:pPr>
            <w:r>
              <w:rPr>
                <w:lang w:val="en-US"/>
              </w:rPr>
              <w:lastRenderedPageBreak/>
              <w:t>30.09.2021</w:t>
            </w:r>
          </w:p>
        </w:tc>
      </w:tr>
      <w:tr w:rsidR="006D6326" w14:paraId="42305A33" w14:textId="77777777">
        <w:tc>
          <w:tcPr>
            <w:tcW w:w="2918" w:type="dxa"/>
          </w:tcPr>
          <w:p w14:paraId="6A8380DA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Definir encargados regionales del sector MINVU para las mesas.</w:t>
            </w:r>
          </w:p>
        </w:tc>
        <w:tc>
          <w:tcPr>
            <w:tcW w:w="3695" w:type="dxa"/>
          </w:tcPr>
          <w:p w14:paraId="51F32840" w14:textId="77777777" w:rsidR="006D6326" w:rsidRDefault="006D6326">
            <w:pPr>
              <w:jc w:val="center"/>
            </w:pPr>
          </w:p>
          <w:p w14:paraId="785BFF28" w14:textId="77777777" w:rsidR="006D6326" w:rsidRDefault="00F4018B">
            <w:pPr>
              <w:jc w:val="center"/>
            </w:pPr>
            <w:r>
              <w:t>100</w:t>
            </w:r>
          </w:p>
        </w:tc>
        <w:tc>
          <w:tcPr>
            <w:tcW w:w="3089" w:type="dxa"/>
          </w:tcPr>
          <w:p w14:paraId="7C588E8C" w14:textId="77777777" w:rsidR="006D6326" w:rsidRDefault="00F4018B">
            <w:pPr>
              <w:jc w:val="both"/>
            </w:pPr>
            <w:r>
              <w:t xml:space="preserve">Ord 0253 del 15/06/2021 del </w:t>
            </w:r>
            <w:proofErr w:type="gramStart"/>
            <w:r>
              <w:t>Jefe</w:t>
            </w:r>
            <w:proofErr w:type="gramEnd"/>
            <w:r>
              <w:t xml:space="preserve"> División de Desarrollo Urbano</w:t>
            </w:r>
          </w:p>
          <w:p w14:paraId="6C619C26" w14:textId="77777777" w:rsidR="006D6326" w:rsidRDefault="006D6326">
            <w:pPr>
              <w:jc w:val="both"/>
            </w:pPr>
          </w:p>
        </w:tc>
        <w:tc>
          <w:tcPr>
            <w:tcW w:w="3294" w:type="dxa"/>
          </w:tcPr>
          <w:p w14:paraId="77B0516A" w14:textId="77777777" w:rsidR="006D6326" w:rsidRDefault="00F4018B">
            <w:pPr>
              <w:jc w:val="both"/>
            </w:pPr>
            <w:r>
              <w:rPr>
                <w:lang w:val="en-US"/>
              </w:rPr>
              <w:t>31.05.2021</w:t>
            </w:r>
          </w:p>
        </w:tc>
      </w:tr>
      <w:tr w:rsidR="006D6326" w14:paraId="1EEEE8C5" w14:textId="77777777">
        <w:tc>
          <w:tcPr>
            <w:tcW w:w="2918" w:type="dxa"/>
          </w:tcPr>
          <w:p w14:paraId="540138C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 xml:space="preserve">Definir cuotas de </w:t>
            </w: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inversión en presupuestos anuales de los SERVIU en Movilidad Sustentable y/o programas afines con componentes de movilidad.</w:t>
            </w:r>
          </w:p>
        </w:tc>
        <w:tc>
          <w:tcPr>
            <w:tcW w:w="3695" w:type="dxa"/>
          </w:tcPr>
          <w:p w14:paraId="4DEB4956" w14:textId="77777777" w:rsidR="006D6326" w:rsidRDefault="006D6326">
            <w:pPr>
              <w:jc w:val="center"/>
            </w:pPr>
          </w:p>
          <w:p w14:paraId="5669406F" w14:textId="77777777" w:rsidR="006D6326" w:rsidRDefault="006D6326">
            <w:pPr>
              <w:jc w:val="center"/>
            </w:pPr>
          </w:p>
          <w:p w14:paraId="1ED9B426" w14:textId="77777777" w:rsidR="006D6326" w:rsidRDefault="00F4018B">
            <w:pPr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20E0D6C5" w14:textId="77777777" w:rsidR="006D6326" w:rsidRDefault="00F4018B">
            <w:pPr>
              <w:jc w:val="both"/>
            </w:pPr>
            <w:r>
              <w:t>Orientaciones Específicas para la Planificación y Formulación Presupuestaria 2022, Pág. 9</w:t>
            </w:r>
          </w:p>
          <w:p w14:paraId="6C9C098C" w14:textId="77777777" w:rsidR="006D6326" w:rsidRDefault="006D6326">
            <w:pPr>
              <w:jc w:val="both"/>
            </w:pPr>
          </w:p>
        </w:tc>
        <w:tc>
          <w:tcPr>
            <w:tcW w:w="3294" w:type="dxa"/>
          </w:tcPr>
          <w:p w14:paraId="392732BA" w14:textId="77777777" w:rsidR="006D6326" w:rsidRDefault="00F401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31.12 .2022</w:t>
            </w:r>
          </w:p>
          <w:p w14:paraId="2FD1CE95" w14:textId="77777777" w:rsidR="006D6326" w:rsidRDefault="00F4018B">
            <w:pPr>
              <w:jc w:val="both"/>
            </w:pPr>
            <w:r>
              <w:rPr>
                <w:lang w:val="en-US"/>
              </w:rPr>
              <w:t xml:space="preserve">(Acción </w:t>
            </w:r>
            <w:r>
              <w:rPr>
                <w:lang w:val="en-US"/>
              </w:rPr>
              <w:t>recurrente cada año)</w:t>
            </w:r>
          </w:p>
        </w:tc>
      </w:tr>
      <w:tr w:rsidR="006D6326" w14:paraId="6B33AAC7" w14:textId="77777777">
        <w:tc>
          <w:tcPr>
            <w:tcW w:w="2918" w:type="dxa"/>
          </w:tcPr>
          <w:p w14:paraId="4E64A1B6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Contratar diseños y obras a través de SERVIU.</w:t>
            </w:r>
          </w:p>
        </w:tc>
        <w:tc>
          <w:tcPr>
            <w:tcW w:w="3695" w:type="dxa"/>
          </w:tcPr>
          <w:p w14:paraId="059C9C49" w14:textId="77777777" w:rsidR="006D6326" w:rsidRDefault="006D6326">
            <w:pPr>
              <w:jc w:val="center"/>
            </w:pPr>
          </w:p>
          <w:p w14:paraId="642455D6" w14:textId="77777777" w:rsidR="006D6326" w:rsidRDefault="00F4018B">
            <w:pPr>
              <w:jc w:val="center"/>
            </w:pPr>
            <w:r>
              <w:t>50</w:t>
            </w:r>
          </w:p>
        </w:tc>
        <w:tc>
          <w:tcPr>
            <w:tcW w:w="3089" w:type="dxa"/>
          </w:tcPr>
          <w:p w14:paraId="60FDF138" w14:textId="77777777" w:rsidR="006D6326" w:rsidRDefault="00F4018B">
            <w:pPr>
              <w:jc w:val="both"/>
            </w:pPr>
            <w:r>
              <w:t>Plan de rutas peatonales y Proyectos de Ciclovías. Reporte Resumido de la Gestión Presupuestaria Año 2022 (Nuevos Y Arrastres), plataforma Pudú, MINVU, del 28/03/2022</w:t>
            </w:r>
          </w:p>
          <w:p w14:paraId="091BE290" w14:textId="2DE45347" w:rsidR="006D6326" w:rsidRDefault="006D6326">
            <w:pPr>
              <w:jc w:val="both"/>
              <w:rPr>
                <w:highlight w:val="yellow"/>
              </w:rPr>
            </w:pPr>
          </w:p>
        </w:tc>
        <w:tc>
          <w:tcPr>
            <w:tcW w:w="3294" w:type="dxa"/>
          </w:tcPr>
          <w:p w14:paraId="0DCF7366" w14:textId="77777777" w:rsidR="006D6326" w:rsidRDefault="00F4018B">
            <w:pPr>
              <w:jc w:val="both"/>
            </w:pPr>
            <w:r>
              <w:t>31.12.2022</w:t>
            </w:r>
          </w:p>
          <w:p w14:paraId="6A8AD5A9" w14:textId="77777777" w:rsidR="006D6326" w:rsidRDefault="00F4018B">
            <w:pPr>
              <w:jc w:val="both"/>
            </w:pPr>
            <w:r>
              <w:rPr>
                <w:lang w:val="en-US"/>
              </w:rPr>
              <w:t>(Acción recurrente cada año)</w:t>
            </w:r>
          </w:p>
        </w:tc>
      </w:tr>
      <w:tr w:rsidR="006D6326" w14:paraId="4D629B57" w14:textId="77777777">
        <w:tc>
          <w:tcPr>
            <w:tcW w:w="2918" w:type="dxa"/>
          </w:tcPr>
          <w:p w14:paraId="382B9432" w14:textId="77777777" w:rsidR="006D6326" w:rsidRDefault="00F4018B">
            <w:pPr>
              <w:pStyle w:val="Subttulo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Definir, adoptar, medir y comunicar indicadores de gestión del compromiso y de beneficio social de la infraestructura construida.</w:t>
            </w:r>
          </w:p>
        </w:tc>
        <w:tc>
          <w:tcPr>
            <w:tcW w:w="3695" w:type="dxa"/>
          </w:tcPr>
          <w:p w14:paraId="7AE11E66" w14:textId="77777777" w:rsidR="006D6326" w:rsidRDefault="006D6326">
            <w:pPr>
              <w:jc w:val="center"/>
            </w:pPr>
          </w:p>
          <w:p w14:paraId="29581FE6" w14:textId="77777777" w:rsidR="006D6326" w:rsidRDefault="006D6326">
            <w:pPr>
              <w:jc w:val="center"/>
            </w:pPr>
          </w:p>
          <w:p w14:paraId="34CC8350" w14:textId="77777777" w:rsidR="006D6326" w:rsidRDefault="00F4018B">
            <w:pPr>
              <w:jc w:val="center"/>
            </w:pPr>
            <w:r>
              <w:t>0</w:t>
            </w:r>
          </w:p>
        </w:tc>
        <w:tc>
          <w:tcPr>
            <w:tcW w:w="3089" w:type="dxa"/>
          </w:tcPr>
          <w:p w14:paraId="24D655DA" w14:textId="2B5B9114" w:rsidR="006D6326" w:rsidRDefault="006D6326">
            <w:pPr>
              <w:jc w:val="both"/>
              <w:rPr>
                <w:highlight w:val="yellow"/>
              </w:rPr>
            </w:pPr>
          </w:p>
        </w:tc>
        <w:tc>
          <w:tcPr>
            <w:tcW w:w="3294" w:type="dxa"/>
          </w:tcPr>
          <w:p w14:paraId="4DA8521A" w14:textId="77777777" w:rsidR="006D6326" w:rsidRDefault="00F4018B">
            <w:pPr>
              <w:jc w:val="both"/>
            </w:pPr>
            <w:r>
              <w:t>31.12.2022</w:t>
            </w:r>
          </w:p>
        </w:tc>
      </w:tr>
    </w:tbl>
    <w:p w14:paraId="5AEE4806" w14:textId="77777777" w:rsidR="006D6326" w:rsidRDefault="006D6326">
      <w:pPr>
        <w:rPr>
          <w:b/>
        </w:rPr>
      </w:pPr>
    </w:p>
    <w:sectPr w:rsidR="006D6326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1020" w14:textId="77777777" w:rsidR="00F4018B" w:rsidRDefault="00F4018B">
      <w:pPr>
        <w:spacing w:after="0" w:line="240" w:lineRule="auto"/>
      </w:pPr>
      <w:r>
        <w:separator/>
      </w:r>
    </w:p>
  </w:endnote>
  <w:endnote w:type="continuationSeparator" w:id="0">
    <w:p w14:paraId="30945FB7" w14:textId="77777777" w:rsidR="00F4018B" w:rsidRDefault="00F4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5FC3" w14:textId="77777777" w:rsidR="00F4018B" w:rsidRDefault="00F4018B">
      <w:pPr>
        <w:spacing w:after="0" w:line="240" w:lineRule="auto"/>
      </w:pPr>
      <w:r>
        <w:separator/>
      </w:r>
    </w:p>
  </w:footnote>
  <w:footnote w:type="continuationSeparator" w:id="0">
    <w:p w14:paraId="52FC7B3C" w14:textId="77777777" w:rsidR="00F4018B" w:rsidRDefault="00F4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5EF9" w14:textId="77777777" w:rsidR="006D6326" w:rsidRDefault="00F401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" behindDoc="0" locked="0" layoutInCell="1" allowOverlap="1" wp14:anchorId="3FE23367" wp14:editId="63DACCA9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 t="13339"/>
                  <a:stretch/>
                </pic:blipFill>
                <pic:spPr>
                  <a:xfrm>
                    <a:off x="0" y="0"/>
                    <a:ext cx="2197026" cy="83770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5BEA4BDB" wp14:editId="466CEFF1">
          <wp:extent cx="1332230" cy="828675"/>
          <wp:effectExtent l="0" t="0" r="1270" b="9525"/>
          <wp:docPr id="4098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332230" cy="82867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26"/>
    <w:rsid w:val="006D6326"/>
    <w:rsid w:val="00987C0B"/>
    <w:rsid w:val="00F4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80DE"/>
  <w15:docId w15:val="{6FA29AD9-5D51-469D-BBAB-31B0B47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p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Valeria Martínez Salas</dc:creator>
  <cp:lastModifiedBy>Manuel Gonzalez Jimenez</cp:lastModifiedBy>
  <cp:revision>2</cp:revision>
  <cp:lastPrinted>2022-03-28T13:05:00Z</cp:lastPrinted>
  <dcterms:created xsi:type="dcterms:W3CDTF">2022-04-08T21:50:00Z</dcterms:created>
  <dcterms:modified xsi:type="dcterms:W3CDTF">2022-04-08T21:50:00Z</dcterms:modified>
</cp:coreProperties>
</file>