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742A" w:rsidR="0079119D" w:rsidRDefault="009F7EF9" w14:paraId="6AC84963" w14:textId="2322E765">
      <w:pPr>
        <w:pStyle w:val="Ttulo2"/>
        <w:jc w:val="center"/>
        <w:rPr>
          <w:rFonts w:ascii="Calibri" w:hAnsi="Calibri" w:eastAsia="Calibri" w:cs="Calibri"/>
          <w:sz w:val="28"/>
          <w:szCs w:val="28"/>
        </w:rPr>
      </w:pPr>
      <w:r w:rsidRPr="00D1742A">
        <w:rPr>
          <w:rFonts w:ascii="Calibri" w:hAnsi="Calibri" w:eastAsia="Calibri" w:cs="Calibri"/>
          <w:sz w:val="28"/>
          <w:szCs w:val="28"/>
        </w:rPr>
        <w:t xml:space="preserve"> </w:t>
      </w:r>
      <w:r w:rsidRPr="00D1742A" w:rsidR="00D1742A">
        <w:rPr>
          <w:rFonts w:ascii="Calibri" w:hAnsi="Calibri" w:eastAsia="Calibri" w:cs="Calibri"/>
          <w:sz w:val="28"/>
          <w:szCs w:val="28"/>
        </w:rPr>
        <w:t>REPORTE DE AVANCE</w:t>
      </w:r>
    </w:p>
    <w:p w:rsidRPr="00D1742A" w:rsidR="00D1742A" w:rsidP="00D1742A" w:rsidRDefault="00D1742A" w14:paraId="4A237E0B" w14:textId="4DD21874">
      <w:pPr>
        <w:pStyle w:val="Ttulo2"/>
        <w:jc w:val="center"/>
        <w:rPr>
          <w:rFonts w:ascii="Calibri" w:hAnsi="Calibri" w:eastAsia="Calibri" w:cs="Calibri"/>
          <w:sz w:val="24"/>
          <w:szCs w:val="24"/>
        </w:rPr>
      </w:pPr>
      <w:r w:rsidRPr="00D1742A">
        <w:rPr>
          <w:rFonts w:ascii="Calibri" w:hAnsi="Calibri" w:eastAsia="Calibri" w:cs="Calibri"/>
          <w:sz w:val="24"/>
          <w:szCs w:val="24"/>
        </w:rPr>
        <w:t>V Plan de Acción de Gobierno Abierto</w:t>
      </w:r>
    </w:p>
    <w:p w:rsidRPr="00D1742A" w:rsidR="00D1742A" w:rsidP="00D1742A" w:rsidRDefault="00D1742A" w14:paraId="1000E90B" w14:textId="435DDAE4">
      <w:pPr>
        <w:pStyle w:val="Ttulo2"/>
        <w:jc w:val="center"/>
        <w:rPr>
          <w:rFonts w:ascii="Calibri" w:hAnsi="Calibri" w:eastAsia="Calibri" w:cs="Calibri"/>
          <w:sz w:val="24"/>
          <w:szCs w:val="24"/>
        </w:rPr>
      </w:pPr>
      <w:r w:rsidRPr="00D1742A">
        <w:rPr>
          <w:rFonts w:ascii="Calibri" w:hAnsi="Calibri" w:eastAsia="Calibri" w:cs="Calibri"/>
          <w:sz w:val="24"/>
          <w:szCs w:val="24"/>
        </w:rPr>
        <w:t>Marzo 2022</w:t>
      </w:r>
    </w:p>
    <w:p w:rsidRPr="00C10332" w:rsidR="002C7549" w:rsidP="002C7549" w:rsidRDefault="002C7549" w14:paraId="5B9A982C" w14:textId="77777777">
      <w:pPr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Consideraciones generales</w:t>
      </w:r>
    </w:p>
    <w:p w:rsidRPr="00C10332" w:rsidR="002C7549" w:rsidP="002C7549" w:rsidRDefault="002C7549" w14:paraId="54CCAF84" w14:textId="7777777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>El reporte sobre el avance de los compromisos es responsabilidad de cada institución.</w:t>
      </w:r>
    </w:p>
    <w:p w:rsidRPr="00C10332" w:rsidR="002C7549" w:rsidP="002C7549" w:rsidRDefault="002C7549" w14:paraId="4B764B7F" w14:textId="7777777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servicio deberá enviar la información a la Comisión de Integridad Pública y Transparencia, organismo que se encargará de cargar los datos en </w:t>
      </w:r>
      <w:hyperlink w:history="1" r:id="rId7">
        <w:r w:rsidRPr="00C10332">
          <w:rPr>
            <w:rFonts w:asciiTheme="majorHAnsi" w:hAnsiTheme="majorHAnsi" w:cstheme="majorHAnsi"/>
            <w:bCs/>
            <w:color w:val="4F81BD"/>
            <w:sz w:val="20"/>
            <w:szCs w:val="20"/>
          </w:rPr>
          <w:t>www.ogp.gob.cl</w:t>
        </w:r>
      </w:hyperlink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 </w:t>
      </w:r>
    </w:p>
    <w:p w:rsidRPr="00C10332" w:rsidR="002C7549" w:rsidP="002C7549" w:rsidRDefault="002C7549" w14:paraId="143B1A3C" w14:textId="7777777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La información que se debe reportar es por cada hito establecido en la categoría “Actividad o producto entregable”. </w:t>
      </w:r>
    </w:p>
    <w:p w:rsidRPr="00C10332" w:rsidR="002C7549" w:rsidP="002C7549" w:rsidRDefault="002C7549" w14:paraId="3A6A3422" w14:textId="7777777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En cada reporte se debe identificar </w:t>
      </w:r>
      <w:r w:rsidRPr="00827D66">
        <w:rPr>
          <w:rFonts w:asciiTheme="majorHAnsi" w:hAnsiTheme="majorHAnsi" w:cstheme="majorHAnsi"/>
          <w:bCs/>
          <w:color w:val="4F81BD"/>
          <w:sz w:val="20"/>
          <w:szCs w:val="20"/>
        </w:rPr>
        <w:t>claramente las fechas en que se ejecutó y</w:t>
      </w: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 en que se completó el hito. Si las fechas de cumplimiento son distintas a las comprometidas originalmente, esto se debe informar y justificar los motivos de su retraso con el fin de identificar los desafíos internos de cada servicio.  </w:t>
      </w:r>
    </w:p>
    <w:p w:rsidRPr="00C10332" w:rsidR="002C7549" w:rsidP="002C7549" w:rsidRDefault="002C7549" w14:paraId="175EC902" w14:textId="7777777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hito debe contar con medios de verificación que garanticen su cumplimiento. Estos pueden ser informes, reportes, resoluciones, decretos, páginas web o plataformas, noticias, fotografías, entre otros. </w:t>
      </w:r>
    </w:p>
    <w:p w:rsidRPr="00031BE4" w:rsidR="002C7549" w:rsidP="002C7549" w:rsidRDefault="002C7549" w14:paraId="2A51FE3C" w14:textId="77777777">
      <w:pPr>
        <w:jc w:val="both"/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Niveles de cumplimiento</w:t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</w:p>
    <w:tbl>
      <w:tblPr>
        <w:tblW w:w="8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5184"/>
      </w:tblGrid>
      <w:tr w:rsidRPr="00402640" w:rsidR="002C7549" w:rsidTr="00F9650A" w14:paraId="65743CE8" w14:textId="77777777">
        <w:tc>
          <w:tcPr>
            <w:tcW w:w="2093" w:type="dxa"/>
          </w:tcPr>
          <w:p w:rsidRPr="00C10332" w:rsidR="002C7549" w:rsidP="00F9650A" w:rsidRDefault="002C7549" w14:paraId="26931997" w14:textId="7777777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Categoría</w:t>
            </w:r>
          </w:p>
        </w:tc>
        <w:tc>
          <w:tcPr>
            <w:tcW w:w="1701" w:type="dxa"/>
          </w:tcPr>
          <w:p w:rsidRPr="00C10332" w:rsidR="002C7549" w:rsidP="00F9650A" w:rsidRDefault="002C7549" w14:paraId="74498EDE" w14:textId="7777777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Porcentaje</w:t>
            </w:r>
          </w:p>
        </w:tc>
        <w:tc>
          <w:tcPr>
            <w:tcW w:w="5184" w:type="dxa"/>
          </w:tcPr>
          <w:p w:rsidRPr="00C10332" w:rsidR="002C7549" w:rsidP="00F9650A" w:rsidRDefault="002C7549" w14:paraId="44FAD2C2" w14:textId="7777777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Descripción</w:t>
            </w:r>
          </w:p>
        </w:tc>
      </w:tr>
      <w:tr w:rsidRPr="00402640" w:rsidR="002C7549" w:rsidTr="00F9650A" w14:paraId="07F9464D" w14:textId="77777777">
        <w:tc>
          <w:tcPr>
            <w:tcW w:w="2093" w:type="dxa"/>
            <w:shd w:val="clear" w:color="auto" w:fill="C0504D"/>
          </w:tcPr>
          <w:p w:rsidRPr="00C10332" w:rsidR="002C7549" w:rsidP="00F9650A" w:rsidRDefault="002C7549" w14:paraId="375187B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No iniciado</w:t>
            </w:r>
          </w:p>
        </w:tc>
        <w:tc>
          <w:tcPr>
            <w:tcW w:w="1701" w:type="dxa"/>
            <w:shd w:val="clear" w:color="auto" w:fill="C0504D"/>
          </w:tcPr>
          <w:p w:rsidRPr="00C10332" w:rsidR="002C7549" w:rsidP="00F9650A" w:rsidRDefault="002C7549" w14:paraId="4DD065D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0%</w:t>
            </w:r>
          </w:p>
        </w:tc>
        <w:tc>
          <w:tcPr>
            <w:tcW w:w="5184" w:type="dxa"/>
            <w:shd w:val="clear" w:color="auto" w:fill="C0504D"/>
          </w:tcPr>
          <w:p w:rsidRPr="00C10332" w:rsidR="002C7549" w:rsidP="00F9650A" w:rsidRDefault="002C7549" w14:paraId="4EE02506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El hito no presenta ningún avance para la consecución del producto comprometido.</w:t>
            </w:r>
          </w:p>
        </w:tc>
      </w:tr>
      <w:tr w:rsidRPr="00402640" w:rsidR="002C7549" w:rsidTr="00F9650A" w14:paraId="289F7853" w14:textId="77777777">
        <w:tc>
          <w:tcPr>
            <w:tcW w:w="2093" w:type="dxa"/>
            <w:shd w:val="clear" w:color="auto" w:fill="F79646"/>
          </w:tcPr>
          <w:p w:rsidRPr="00C10332" w:rsidR="002C7549" w:rsidP="00F9650A" w:rsidRDefault="002C7549" w14:paraId="010AB9C4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limitado</w:t>
            </w:r>
          </w:p>
          <w:p w:rsidRPr="00C10332" w:rsidR="002C7549" w:rsidP="00F9650A" w:rsidRDefault="002C7549" w14:paraId="138533C0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9646"/>
          </w:tcPr>
          <w:p w:rsidRPr="00C10332" w:rsidR="002C7549" w:rsidP="00F9650A" w:rsidRDefault="002C7549" w14:paraId="781F124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25%</w:t>
            </w:r>
          </w:p>
        </w:tc>
        <w:tc>
          <w:tcPr>
            <w:tcW w:w="5184" w:type="dxa"/>
            <w:shd w:val="clear" w:color="auto" w:fill="F79646"/>
          </w:tcPr>
          <w:p w:rsidRPr="00C10332" w:rsidR="002C7549" w:rsidP="00F9650A" w:rsidRDefault="002C7549" w14:paraId="5B0D4F13" w14:textId="7777777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presenta un nivel mínimo de avance. Corresponde a las primeras tareas ejecutadas, las cuales pueden ser los primeros avances para su implementación, como reuniones de coordinación y tareas administrativas.  </w:t>
            </w:r>
          </w:p>
        </w:tc>
      </w:tr>
      <w:tr w:rsidRPr="00402640" w:rsidR="002C7549" w:rsidTr="00F9650A" w14:paraId="3EF67454" w14:textId="77777777">
        <w:tc>
          <w:tcPr>
            <w:tcW w:w="2093" w:type="dxa"/>
            <w:shd w:val="clear" w:color="auto" w:fill="CCFF66"/>
          </w:tcPr>
          <w:p w:rsidRPr="00C10332" w:rsidR="002C7549" w:rsidP="00F9650A" w:rsidRDefault="002C7549" w14:paraId="08D7DBA0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medio</w:t>
            </w:r>
          </w:p>
        </w:tc>
        <w:tc>
          <w:tcPr>
            <w:tcW w:w="1701" w:type="dxa"/>
            <w:shd w:val="clear" w:color="auto" w:fill="CCFF66"/>
          </w:tcPr>
          <w:p w:rsidRPr="00C10332" w:rsidR="002C7549" w:rsidP="00F9650A" w:rsidRDefault="002C7549" w14:paraId="5C1149F0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50%</w:t>
            </w:r>
          </w:p>
        </w:tc>
        <w:tc>
          <w:tcPr>
            <w:tcW w:w="5184" w:type="dxa"/>
            <w:shd w:val="clear" w:color="auto" w:fill="CCFF66"/>
          </w:tcPr>
          <w:p w:rsidRPr="00C10332" w:rsidR="002C7549" w:rsidP="00F9650A" w:rsidRDefault="002C7549" w14:paraId="1E4E5A99" w14:textId="7777777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la mitad de su implementación. Ya se iniciaron tareas concretas para su desarrollo, pero aún no se presentan avances significativos para el logro de lo comprometido.  </w:t>
            </w:r>
          </w:p>
        </w:tc>
      </w:tr>
      <w:tr w:rsidRPr="00402640" w:rsidR="002C7549" w:rsidTr="00F9650A" w14:paraId="732EAEC6" w14:textId="77777777">
        <w:tc>
          <w:tcPr>
            <w:tcW w:w="2093" w:type="dxa"/>
            <w:shd w:val="clear" w:color="auto" w:fill="4F81BD"/>
          </w:tcPr>
          <w:p w:rsidRPr="00C10332" w:rsidR="002C7549" w:rsidP="00F9650A" w:rsidRDefault="002C7549" w14:paraId="0FD97EB4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sustancial</w:t>
            </w:r>
          </w:p>
        </w:tc>
        <w:tc>
          <w:tcPr>
            <w:tcW w:w="1701" w:type="dxa"/>
            <w:shd w:val="clear" w:color="auto" w:fill="4F81BD"/>
          </w:tcPr>
          <w:p w:rsidRPr="00C10332" w:rsidR="002C7549" w:rsidP="00F9650A" w:rsidRDefault="002C7549" w14:paraId="25DE7E1C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75%</w:t>
            </w:r>
          </w:p>
        </w:tc>
        <w:tc>
          <w:tcPr>
            <w:tcW w:w="5184" w:type="dxa"/>
            <w:shd w:val="clear" w:color="auto" w:fill="4F81BD"/>
          </w:tcPr>
          <w:p w:rsidRPr="00C10332" w:rsidR="002C7549" w:rsidP="00F9650A" w:rsidRDefault="002C7549" w14:paraId="6398ACEB" w14:textId="7777777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un estado avanzado de la implementación. Se observan indicios de los productos comprometidos con avance aceptable. </w:t>
            </w:r>
          </w:p>
        </w:tc>
      </w:tr>
      <w:tr w:rsidRPr="00402640" w:rsidR="002C7549" w:rsidTr="00F9650A" w14:paraId="2BEC0AE0" w14:textId="77777777">
        <w:trPr>
          <w:trHeight w:val="60"/>
        </w:trPr>
        <w:tc>
          <w:tcPr>
            <w:tcW w:w="2093" w:type="dxa"/>
            <w:shd w:val="clear" w:color="auto" w:fill="00B050"/>
          </w:tcPr>
          <w:p w:rsidRPr="00C10332" w:rsidR="002C7549" w:rsidP="00F9650A" w:rsidRDefault="002C7549" w14:paraId="60F3E85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Completo</w:t>
            </w:r>
          </w:p>
        </w:tc>
        <w:tc>
          <w:tcPr>
            <w:tcW w:w="1701" w:type="dxa"/>
            <w:shd w:val="clear" w:color="auto" w:fill="00B050"/>
          </w:tcPr>
          <w:p w:rsidRPr="00C10332" w:rsidR="002C7549" w:rsidP="00F9650A" w:rsidRDefault="002C7549" w14:paraId="08259971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100%</w:t>
            </w:r>
          </w:p>
        </w:tc>
        <w:tc>
          <w:tcPr>
            <w:tcW w:w="5184" w:type="dxa"/>
            <w:shd w:val="clear" w:color="auto" w:fill="00B050"/>
          </w:tcPr>
          <w:p w:rsidRPr="00C10332" w:rsidR="002C7549" w:rsidP="00F9650A" w:rsidRDefault="002C7549" w14:paraId="257C483D" w14:textId="7777777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cumplido en su cabalidad y se presentan los resultados esperados dentro del periodo de implementación del Plan de Acción (hasta junio de 2020). </w:t>
            </w:r>
          </w:p>
        </w:tc>
      </w:tr>
    </w:tbl>
    <w:p w:rsidR="002C7549" w:rsidP="002C7549" w:rsidRDefault="002C7549" w14:paraId="196A0E7E" w14:textId="77777777">
      <w:p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</w:p>
    <w:p w:rsidRPr="00D1742A" w:rsidR="002C7549" w:rsidP="002C7549" w:rsidRDefault="002C7549" w14:paraId="14BAA675" w14:textId="77777777">
      <w:pPr>
        <w:pStyle w:val="Ttulo2"/>
        <w:jc w:val="center"/>
        <w:rPr>
          <w:rFonts w:ascii="Calibri" w:hAnsi="Calibri" w:eastAsia="Calibri" w:cs="Calibri"/>
          <w:sz w:val="28"/>
          <w:szCs w:val="28"/>
        </w:rPr>
      </w:pPr>
      <w:r w:rsidRPr="00D1742A">
        <w:rPr>
          <w:rFonts w:ascii="Calibri" w:hAnsi="Calibri" w:eastAsia="Calibri" w:cs="Calibri"/>
          <w:sz w:val="28"/>
          <w:szCs w:val="28"/>
        </w:rPr>
        <w:t xml:space="preserve">REPORTE DE </w:t>
      </w:r>
      <w:r>
        <w:rPr>
          <w:rFonts w:ascii="Calibri" w:hAnsi="Calibri" w:eastAsia="Calibri" w:cs="Calibri"/>
          <w:sz w:val="28"/>
          <w:szCs w:val="28"/>
        </w:rPr>
        <w:t>CUMPLIMIENTO</w:t>
      </w:r>
    </w:p>
    <w:p w:rsidR="0079119D" w:rsidRDefault="0079119D" w14:paraId="20B45CBE" w14:textId="77777777"/>
    <w:tbl>
      <w:tblPr>
        <w:tblStyle w:val="a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17"/>
        <w:gridCol w:w="3827"/>
        <w:gridCol w:w="1462"/>
      </w:tblGrid>
      <w:tr w:rsidR="00B13F49" w:rsidTr="28C7759B" w14:paraId="4EA02FB3" w14:textId="58620328">
        <w:tc>
          <w:tcPr>
            <w:tcW w:w="2122" w:type="dxa"/>
            <w:shd w:val="clear" w:color="auto" w:fill="8DB3E2" w:themeFill="text2" w:themeFillTint="66"/>
            <w:tcMar/>
          </w:tcPr>
          <w:p w:rsidRPr="00B13F49" w:rsidR="00B13F49" w:rsidRDefault="00B13F49" w14:paraId="4256AF94" w14:textId="77777777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Categoría</w:t>
            </w:r>
          </w:p>
        </w:tc>
        <w:tc>
          <w:tcPr>
            <w:tcW w:w="6706" w:type="dxa"/>
            <w:gridSpan w:val="3"/>
            <w:shd w:val="clear" w:color="auto" w:fill="8DB3E2" w:themeFill="text2" w:themeFillTint="66"/>
            <w:tcMar/>
          </w:tcPr>
          <w:p w:rsidRPr="00B13F49" w:rsidR="00B13F49" w:rsidRDefault="00B13F49" w14:paraId="43200925" w14:textId="454A8A5C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Información</w:t>
            </w:r>
          </w:p>
        </w:tc>
      </w:tr>
      <w:tr w:rsidR="00B13F49" w:rsidTr="28C7759B" w14:paraId="218DA2C4" w14:textId="3F0BB4B2">
        <w:trPr>
          <w:trHeight w:val="760"/>
        </w:trPr>
        <w:tc>
          <w:tcPr>
            <w:tcW w:w="2122" w:type="dxa"/>
            <w:tcMar/>
          </w:tcPr>
          <w:p w:rsidR="00B13F49" w:rsidRDefault="00B13F49" w14:paraId="7252B48D" w14:textId="65BABD3A">
            <w:pPr>
              <w:pStyle w:val="Subttulo"/>
              <w:jc w:val="both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6706" w:type="dxa"/>
            <w:gridSpan w:val="3"/>
            <w:tcMar/>
          </w:tcPr>
          <w:p w:rsidRPr="0021791E" w:rsidR="00B13F49" w:rsidP="00596E21" w:rsidRDefault="007C17CA" w14:paraId="3F1FEBDA" w14:textId="30080111">
            <w:pPr>
              <w:pStyle w:val="Ttulo1"/>
              <w:shd w:val="clear" w:color="auto" w:fill="FFFFFF"/>
              <w:spacing w:before="0"/>
              <w:rPr>
                <w:rFonts w:ascii="Montserrat" w:hAnsi="Montserrat"/>
                <w:color w:val="212529"/>
                <w:sz w:val="54"/>
                <w:szCs w:val="54"/>
              </w:rPr>
            </w:pPr>
            <w:r>
              <w:rPr>
                <w:b w:val="0"/>
                <w:sz w:val="22"/>
                <w:szCs w:val="22"/>
              </w:rPr>
              <w:t>Observatorio de Comercio Exterior</w:t>
            </w:r>
          </w:p>
        </w:tc>
      </w:tr>
      <w:tr w:rsidR="00B13F49" w:rsidTr="28C7759B" w14:paraId="0EBD76DD" w14:textId="46A7E635">
        <w:tc>
          <w:tcPr>
            <w:tcW w:w="2122" w:type="dxa"/>
            <w:tcMar/>
          </w:tcPr>
          <w:p w:rsidR="00B13F49" w:rsidRDefault="00B13F49" w14:paraId="51A9FC30" w14:textId="305448B4">
            <w:pPr>
              <w:pStyle w:val="Subttulo"/>
              <w:jc w:val="both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6706" w:type="dxa"/>
            <w:gridSpan w:val="3"/>
            <w:tcMar/>
          </w:tcPr>
          <w:p w:rsidRPr="006E4373" w:rsidR="00B13F49" w:rsidP="00596E21" w:rsidRDefault="007C17CA" w14:paraId="32375B31" w14:textId="49CF5BC0">
            <w:pPr>
              <w:jc w:val="both"/>
              <w:rPr>
                <w:i/>
              </w:rPr>
            </w:pPr>
            <w:bookmarkStart w:name="_gjdgxs" w:colFirst="0" w:colLast="0" w:id="0"/>
            <w:bookmarkEnd w:id="0"/>
            <w:r>
              <w:t>Servicio Nacional de Aduanas</w:t>
            </w:r>
          </w:p>
        </w:tc>
      </w:tr>
      <w:tr w:rsidR="00B13F49" w:rsidTr="28C7759B" w14:paraId="5A292FDF" w14:textId="10B23BC6">
        <w:tc>
          <w:tcPr>
            <w:tcW w:w="2122" w:type="dxa"/>
            <w:tcMar/>
          </w:tcPr>
          <w:p w:rsidR="00B13F49" w:rsidRDefault="00B13F49" w14:paraId="1585A4FA" w14:textId="32B4B396">
            <w:pPr>
              <w:pStyle w:val="Subttulo"/>
              <w:jc w:val="both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6706" w:type="dxa"/>
            <w:gridSpan w:val="3"/>
            <w:tcMar/>
          </w:tcPr>
          <w:p w:rsidRPr="006E4373" w:rsidR="00B13F49" w:rsidP="0021791E" w:rsidRDefault="007C17CA" w14:paraId="20ABCDA9" w14:textId="05EC247E">
            <w:pPr>
              <w:pStyle w:val="NormalWeb"/>
              <w:jc w:val="both"/>
              <w:rPr>
                <w:rFonts w:ascii="Calibri" w:hAnsi="Calibri" w:eastAsia="Calibri" w:cs="Calibri"/>
                <w:i/>
                <w:sz w:val="22"/>
                <w:szCs w:val="22"/>
              </w:rPr>
            </w:pPr>
            <w:r w:rsidRPr="007C17CA">
              <w:rPr>
                <w:rFonts w:ascii="Calibri" w:hAnsi="Calibri" w:eastAsia="Calibri" w:cs="Calibri"/>
                <w:sz w:val="22"/>
                <w:szCs w:val="22"/>
              </w:rPr>
              <w:t>Implementar un portal que centralice, los datos de comercio exterior, permitiendo con ello a la ciudanía en general, entidades públicas y sector privado, acceder de manera eficiente, autónoma (directa) y amigable a la información de intercambio comercial, exportación de bienes y servicios, importación, tráfico terrestre, tráfico marítimo, zona franca, recaudación, régimen de importación (general, acuerdos comerciales, otras preferencias) y publicaciones.</w:t>
            </w:r>
          </w:p>
        </w:tc>
      </w:tr>
      <w:tr w:rsidR="00B13F49" w:rsidTr="28C7759B" w14:paraId="67CB962A" w14:textId="79FD7EBE">
        <w:tc>
          <w:tcPr>
            <w:tcW w:w="2122" w:type="dxa"/>
            <w:tcMar/>
          </w:tcPr>
          <w:p w:rsidR="00B13F49" w:rsidRDefault="00B13F49" w14:paraId="791E6376" w14:textId="4DEF8C5B">
            <w:pPr>
              <w:pStyle w:val="Subttulo"/>
              <w:jc w:val="both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6706" w:type="dxa"/>
            <w:gridSpan w:val="3"/>
            <w:tcMar/>
            <w:vAlign w:val="center"/>
          </w:tcPr>
          <w:p w:rsidR="00B13F49" w:rsidP="0013400E" w:rsidRDefault="00063CE2" w14:paraId="0CF441A0" w14:textId="7B244C6C">
            <w:r w:rsidRPr="00827D66">
              <w:t xml:space="preserve">100% </w:t>
            </w:r>
          </w:p>
        </w:tc>
      </w:tr>
      <w:tr w:rsidR="00B13F49" w:rsidTr="28C7759B" w14:paraId="6217137E" w14:textId="118661AF">
        <w:tc>
          <w:tcPr>
            <w:tcW w:w="8828" w:type="dxa"/>
            <w:gridSpan w:val="4"/>
            <w:shd w:val="clear" w:color="auto" w:fill="F79646" w:themeFill="accent6"/>
            <w:tcMar/>
          </w:tcPr>
          <w:p w:rsidRPr="00B13F49" w:rsidR="00B13F49" w:rsidP="00B13F49" w:rsidRDefault="00B13F49" w14:paraId="6B5E1FC8" w14:textId="65DD56BA">
            <w:pPr>
              <w:jc w:val="center"/>
              <w:rPr>
                <w:i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Seguimiento por actividad</w:t>
            </w:r>
          </w:p>
        </w:tc>
      </w:tr>
      <w:tr w:rsidR="00B13F49" w:rsidTr="28C7759B" w14:paraId="74BEA1AD" w14:textId="14F6381D">
        <w:trPr>
          <w:trHeight w:val="400"/>
        </w:trPr>
        <w:tc>
          <w:tcPr>
            <w:tcW w:w="2122" w:type="dxa"/>
            <w:tcMar/>
          </w:tcPr>
          <w:p w:rsidR="00B13F49" w:rsidP="00D54F90" w:rsidRDefault="00B13F49" w14:paraId="2A53A2FD" w14:textId="0AD66736">
            <w:pPr>
              <w:pStyle w:val="Subttulo"/>
              <w:jc w:val="center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1417" w:type="dxa"/>
            <w:tcMar/>
          </w:tcPr>
          <w:p w:rsidR="00B13F49" w:rsidP="009F7EF9" w:rsidRDefault="009F7EF9" w14:paraId="5C103498" w14:textId="6F2A8771">
            <w:pPr>
              <w:pStyle w:val="Subttulo"/>
              <w:jc w:val="center"/>
            </w:pPr>
            <w:r w:rsidRPr="009F7EF9">
              <w:rPr>
                <w:rFonts w:ascii="Calibri" w:hAnsi="Calibri" w:eastAsia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827" w:type="dxa"/>
            <w:tcMar/>
          </w:tcPr>
          <w:p w:rsidRPr="00D54F90" w:rsidR="00B13F49" w:rsidP="009F7EF9" w:rsidRDefault="009F7EF9" w14:paraId="7B5702FC" w14:textId="62FD56B7">
            <w:pPr>
              <w:pStyle w:val="Subttulo"/>
              <w:jc w:val="center"/>
              <w:rPr>
                <w:rFonts w:ascii="Calibri" w:hAnsi="Calibri" w:eastAsia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1462" w:type="dxa"/>
            <w:tcMar/>
          </w:tcPr>
          <w:p w:rsidR="00B13F49" w:rsidP="00D54F90" w:rsidRDefault="00B13F49" w14:paraId="44D37F23" w14:textId="6C9EE0D9">
            <w:pPr>
              <w:pStyle w:val="Subttulo"/>
              <w:jc w:val="center"/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</w:rPr>
              <w:t>Plazo</w:t>
            </w:r>
          </w:p>
        </w:tc>
      </w:tr>
      <w:tr w:rsidR="00B13F49" w:rsidTr="28C7759B" w14:paraId="07F701A2" w14:textId="00C129F3">
        <w:trPr>
          <w:trHeight w:val="580"/>
        </w:trPr>
        <w:tc>
          <w:tcPr>
            <w:tcW w:w="2122" w:type="dxa"/>
            <w:tcMar/>
            <w:vAlign w:val="center"/>
          </w:tcPr>
          <w:p w:rsidRPr="00B13F49" w:rsidR="00B13F49" w:rsidP="002E46FB" w:rsidRDefault="007C17CA" w14:paraId="45EA1AE2" w14:textId="42002A01">
            <w:pPr>
              <w:pStyle w:val="Subttulo"/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</w:pPr>
            <w:r w:rsidRPr="007C17CA"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  <w:t>Construcción de dashboards.</w:t>
            </w:r>
          </w:p>
        </w:tc>
        <w:tc>
          <w:tcPr>
            <w:tcW w:w="1417" w:type="dxa"/>
            <w:tcMar/>
            <w:vAlign w:val="center"/>
          </w:tcPr>
          <w:p w:rsidR="00B13F49" w:rsidP="00350AC7" w:rsidRDefault="0057262C" w14:paraId="2884C143" w14:textId="15C175B0">
            <w:pPr>
              <w:jc w:val="center"/>
            </w:pPr>
            <w:r>
              <w:t>100%</w:t>
            </w:r>
          </w:p>
        </w:tc>
        <w:tc>
          <w:tcPr>
            <w:tcW w:w="3827" w:type="dxa"/>
            <w:tcMar/>
          </w:tcPr>
          <w:p w:rsidRPr="00350AC7" w:rsidR="00350AC7" w:rsidRDefault="00350AC7" w14:paraId="085F9C66" w14:textId="2068BB57">
            <w:pPr>
              <w:jc w:val="both"/>
              <w:rPr>
                <w:b/>
              </w:rPr>
            </w:pPr>
            <w:r w:rsidRPr="00350AC7">
              <w:rPr>
                <w:b/>
              </w:rPr>
              <w:t>Link de acceso a los tableros interactivos</w:t>
            </w:r>
            <w:r>
              <w:rPr>
                <w:b/>
              </w:rPr>
              <w:t xml:space="preserve"> (dashboards)</w:t>
            </w:r>
            <w:r w:rsidRPr="00350AC7">
              <w:rPr>
                <w:b/>
              </w:rPr>
              <w:t xml:space="preserve"> de comercio exterior</w:t>
            </w:r>
            <w:r>
              <w:rPr>
                <w:b/>
              </w:rPr>
              <w:t>,</w:t>
            </w:r>
            <w:r w:rsidRPr="00350AC7">
              <w:rPr>
                <w:b/>
              </w:rPr>
              <w:t xml:space="preserve"> dispuestos </w:t>
            </w:r>
            <w:r w:rsidR="002E46FB">
              <w:rPr>
                <w:b/>
              </w:rPr>
              <w:t>a la ciudadanía e interesados,</w:t>
            </w:r>
            <w:r w:rsidRPr="00350AC7" w:rsidR="002E46FB">
              <w:rPr>
                <w:b/>
              </w:rPr>
              <w:t xml:space="preserve"> </w:t>
            </w:r>
            <w:r w:rsidRPr="00350AC7">
              <w:rPr>
                <w:b/>
              </w:rPr>
              <w:t>en la página web institucional del Servicio Nacional de Aduanas:</w:t>
            </w:r>
          </w:p>
          <w:p w:rsidR="00B13F49" w:rsidRDefault="00350AC7" w14:paraId="13C7C992" w14:noSpellErr="1" w14:textId="1C5456BA">
            <w:pPr>
              <w:jc w:val="both"/>
            </w:pPr>
            <w:hyperlink r:id="Rd3810a3447054136">
              <w:r w:rsidRPr="28C7759B" w:rsidR="00350AC7">
                <w:rPr>
                  <w:rStyle w:val="Hipervnculo"/>
                </w:rPr>
                <w:t>http://www.aduana.cl/aduana/site/edic/base/port/estadisticas.html?filtro=20201028125545</w:t>
              </w:r>
            </w:hyperlink>
          </w:p>
        </w:tc>
        <w:tc>
          <w:tcPr>
            <w:tcW w:w="1462" w:type="dxa"/>
            <w:tcMar/>
            <w:vAlign w:val="center"/>
          </w:tcPr>
          <w:p w:rsidR="00B13F49" w:rsidP="00350AC7" w:rsidRDefault="00350AC7" w14:paraId="0D7306A7" w14:textId="098C7CD0">
            <w:pPr>
              <w:jc w:val="center"/>
            </w:pPr>
            <w:r>
              <w:t>Diciembre 2022</w:t>
            </w:r>
          </w:p>
        </w:tc>
      </w:tr>
      <w:tr w:rsidR="00B13F49" w:rsidTr="28C7759B" w14:paraId="4B4A06AA" w14:textId="10D2F111">
        <w:tc>
          <w:tcPr>
            <w:tcW w:w="2122" w:type="dxa"/>
            <w:tcMar/>
            <w:vAlign w:val="center"/>
          </w:tcPr>
          <w:p w:rsidRPr="00B13F49" w:rsidR="00B13F49" w:rsidP="002E46FB" w:rsidRDefault="007C17CA" w14:paraId="4F9BEB56" w14:textId="56FFBA23">
            <w:pPr>
              <w:pStyle w:val="Subttulo"/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</w:pPr>
            <w:r w:rsidRPr="007C17CA"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  <w:t xml:space="preserve">Mesa de trabajo con otras entidades (revisión de sus experiencias, </w:t>
            </w:r>
            <w:r w:rsidRPr="007C17CA"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  <w:lastRenderedPageBreak/>
              <w:t>manejo de datos, entre otros).</w:t>
            </w:r>
          </w:p>
        </w:tc>
        <w:tc>
          <w:tcPr>
            <w:tcW w:w="1417" w:type="dxa"/>
            <w:tcMar/>
            <w:vAlign w:val="center"/>
          </w:tcPr>
          <w:p w:rsidR="00B13F49" w:rsidP="00350AC7" w:rsidRDefault="00350AC7" w14:paraId="4F8F6607" w14:textId="39CC9D41">
            <w:pPr>
              <w:jc w:val="center"/>
            </w:pPr>
            <w:r>
              <w:lastRenderedPageBreak/>
              <w:t>100%</w:t>
            </w:r>
          </w:p>
        </w:tc>
        <w:tc>
          <w:tcPr>
            <w:tcW w:w="3827" w:type="dxa"/>
            <w:tcMar/>
          </w:tcPr>
          <w:p w:rsidRPr="00AD74CA" w:rsidR="00B13F49" w:rsidRDefault="00AD74CA" w14:paraId="776F7590" w14:textId="0513BFF1">
            <w:pPr>
              <w:jc w:val="both"/>
              <w:rPr>
                <w:b/>
                <w:bCs/>
              </w:rPr>
            </w:pPr>
            <w:r w:rsidRPr="00AD74CA">
              <w:rPr>
                <w:b/>
                <w:bCs/>
              </w:rPr>
              <w:t>Reuniones de trabajo y revisión de experiencia con INE: Gobernanza y Administración de datos</w:t>
            </w:r>
            <w:r w:rsidR="00897FF1">
              <w:rPr>
                <w:b/>
                <w:bCs/>
              </w:rPr>
              <w:t xml:space="preserve"> (junio y noviembre 2021)</w:t>
            </w:r>
            <w:r w:rsidRPr="00AD74CA">
              <w:rPr>
                <w:b/>
                <w:bCs/>
              </w:rPr>
              <w:t>.</w:t>
            </w:r>
          </w:p>
          <w:p w:rsidR="00296FAC" w:rsidRDefault="00F860EC" w14:paraId="193D33DB" w14:textId="6A6DF58B">
            <w:pPr>
              <w:jc w:val="both"/>
            </w:pPr>
            <w:r>
              <w:lastRenderedPageBreak/>
              <w:t>Se adjunta adicionalmente, documento compartido por INE</w:t>
            </w:r>
            <w:r w:rsidR="00312C49">
              <w:t xml:space="preserve">, con </w:t>
            </w:r>
            <w:r w:rsidR="006B36F6">
              <w:t xml:space="preserve">modelo de gestión para el aprovechamiento </w:t>
            </w:r>
            <w:r w:rsidR="00A621CD">
              <w:t>estadístico de los registros administrativos.</w:t>
            </w:r>
            <w:r w:rsidR="0034586F">
              <w:t xml:space="preserve"> </w:t>
            </w:r>
          </w:p>
        </w:tc>
        <w:tc>
          <w:tcPr>
            <w:tcW w:w="1462" w:type="dxa"/>
            <w:tcMar/>
            <w:vAlign w:val="center"/>
          </w:tcPr>
          <w:p w:rsidR="00B13F49" w:rsidP="00350AC7" w:rsidRDefault="00350AC7" w14:paraId="0776C13B" w14:textId="6E29CDF7">
            <w:pPr>
              <w:jc w:val="center"/>
            </w:pPr>
            <w:r>
              <w:lastRenderedPageBreak/>
              <w:t>Diciembre 2021</w:t>
            </w:r>
          </w:p>
        </w:tc>
      </w:tr>
      <w:tr w:rsidR="00B13F49" w:rsidTr="28C7759B" w14:paraId="1798669D" w14:textId="71DF980F">
        <w:tc>
          <w:tcPr>
            <w:tcW w:w="2122" w:type="dxa"/>
            <w:tcMar/>
            <w:vAlign w:val="center"/>
          </w:tcPr>
          <w:p w:rsidRPr="00B13F49" w:rsidR="00B13F49" w:rsidP="002E46FB" w:rsidRDefault="007C17CA" w14:paraId="71EE85B7" w14:textId="297629CA">
            <w:pPr>
              <w:pStyle w:val="Subttulo"/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</w:pPr>
            <w:r w:rsidRPr="007C17CA"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  <w:t>Presentación de iniciativa a las partes interesadas (coimplementación).</w:t>
            </w:r>
          </w:p>
        </w:tc>
        <w:tc>
          <w:tcPr>
            <w:tcW w:w="1417" w:type="dxa"/>
            <w:tcMar/>
            <w:vAlign w:val="center"/>
          </w:tcPr>
          <w:p w:rsidR="00B13F49" w:rsidP="00350AC7" w:rsidRDefault="00B13F49" w14:paraId="668CB524" w14:textId="77777777">
            <w:pPr>
              <w:jc w:val="center"/>
            </w:pPr>
          </w:p>
          <w:p w:rsidR="00B13F49" w:rsidP="00350AC7" w:rsidRDefault="00350AC7" w14:paraId="3F0E0311" w14:textId="79B9A8EA">
            <w:pPr>
              <w:jc w:val="center"/>
            </w:pPr>
            <w:r>
              <w:t>100%</w:t>
            </w:r>
          </w:p>
        </w:tc>
        <w:tc>
          <w:tcPr>
            <w:tcW w:w="3827" w:type="dxa"/>
            <w:tcMar/>
          </w:tcPr>
          <w:p w:rsidRPr="0013400E" w:rsidR="006429BF" w:rsidRDefault="001F0962" w14:paraId="4D5F1505" w14:textId="1038811D">
            <w:pPr>
              <w:jc w:val="both"/>
              <w:rPr>
                <w:b/>
              </w:rPr>
            </w:pPr>
            <w:r w:rsidRPr="001F0962">
              <w:rPr>
                <w:b/>
              </w:rPr>
              <w:t>Noticia “Aduanas presenta sus nuevos tableros interactivos con cifras de comercio exterior”</w:t>
            </w:r>
            <w:r>
              <w:rPr>
                <w:b/>
              </w:rPr>
              <w:t>.</w:t>
            </w:r>
          </w:p>
        </w:tc>
        <w:tc>
          <w:tcPr>
            <w:tcW w:w="1462" w:type="dxa"/>
            <w:tcMar/>
            <w:vAlign w:val="center"/>
          </w:tcPr>
          <w:p w:rsidR="00B13F49" w:rsidP="00350AC7" w:rsidRDefault="00350AC7" w14:paraId="29D972AC" w14:textId="54CF5BF7">
            <w:pPr>
              <w:jc w:val="center"/>
            </w:pPr>
            <w:r>
              <w:t>Diciembre 2021</w:t>
            </w:r>
          </w:p>
        </w:tc>
      </w:tr>
      <w:tr w:rsidR="0021791E" w:rsidTr="28C7759B" w14:paraId="3FB96E9D" w14:textId="77777777">
        <w:tc>
          <w:tcPr>
            <w:tcW w:w="2122" w:type="dxa"/>
            <w:tcMar/>
            <w:vAlign w:val="center"/>
          </w:tcPr>
          <w:p w:rsidRPr="0021791E" w:rsidR="0021791E" w:rsidP="002E46FB" w:rsidRDefault="007C17CA" w14:paraId="68FF7FEE" w14:textId="659126B3">
            <w:pPr>
              <w:pStyle w:val="Subttulo"/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</w:pPr>
            <w:r w:rsidRPr="007C17CA">
              <w:rPr>
                <w:rFonts w:ascii="Calibri" w:hAnsi="Calibri" w:eastAsia="Calibri" w:cs="Calibri"/>
                <w:i w:val="0"/>
                <w:color w:val="auto"/>
                <w:sz w:val="22"/>
                <w:szCs w:val="22"/>
              </w:rPr>
              <w:t>Implementación del portal de Comercio Exterior.</w:t>
            </w:r>
          </w:p>
        </w:tc>
        <w:tc>
          <w:tcPr>
            <w:tcW w:w="1417" w:type="dxa"/>
            <w:tcMar/>
            <w:vAlign w:val="center"/>
          </w:tcPr>
          <w:p w:rsidR="0021791E" w:rsidP="00350AC7" w:rsidRDefault="00350AC7" w14:paraId="2CDBAF9E" w14:textId="62922532">
            <w:pPr>
              <w:jc w:val="center"/>
            </w:pPr>
            <w:r>
              <w:t>100%</w:t>
            </w:r>
          </w:p>
        </w:tc>
        <w:tc>
          <w:tcPr>
            <w:tcW w:w="3827" w:type="dxa"/>
            <w:tcMar/>
          </w:tcPr>
          <w:p w:rsidRPr="00350AC7" w:rsidR="00350AC7" w:rsidP="00350AC7" w:rsidRDefault="00350AC7" w14:paraId="10F6CDB9" w14:textId="7C74B531">
            <w:pPr>
              <w:jc w:val="both"/>
              <w:rPr>
                <w:b/>
              </w:rPr>
            </w:pPr>
            <w:r w:rsidRPr="00350AC7">
              <w:rPr>
                <w:b/>
              </w:rPr>
              <w:t xml:space="preserve">Link de acceso </w:t>
            </w:r>
            <w:r w:rsidR="002E46FB">
              <w:rPr>
                <w:b/>
              </w:rPr>
              <w:t>al Portal de Comercio Exterior</w:t>
            </w:r>
            <w:r>
              <w:rPr>
                <w:b/>
              </w:rPr>
              <w:t>,</w:t>
            </w:r>
            <w:r w:rsidRPr="00350AC7">
              <w:rPr>
                <w:b/>
              </w:rPr>
              <w:t xml:space="preserve"> dispuesto</w:t>
            </w:r>
            <w:r w:rsidR="002E46FB">
              <w:rPr>
                <w:b/>
              </w:rPr>
              <w:t xml:space="preserve"> ciudadanía e interesados,</w:t>
            </w:r>
            <w:r w:rsidRPr="00350AC7">
              <w:rPr>
                <w:b/>
              </w:rPr>
              <w:t xml:space="preserve"> en la página web institucional del Servicio Nacional de Aduanas:</w:t>
            </w:r>
          </w:p>
          <w:p w:rsidR="0021791E" w:rsidRDefault="00350AC7" w14:noSpellErr="1" w14:paraId="1CC0E564" w14:textId="74E64441">
            <w:pPr>
              <w:jc w:val="both"/>
            </w:pPr>
            <w:hyperlink r:id="Rc8eba6bc6b174b56">
              <w:r w:rsidRPr="28C7759B" w:rsidR="00350AC7">
                <w:rPr>
                  <w:rStyle w:val="Hipervnculo"/>
                </w:rPr>
                <w:t>http://www.aduana.cl/aduana/site/edic/base/port/estadisticas.html?filtro=20181205215213</w:t>
              </w:r>
            </w:hyperlink>
          </w:p>
          <w:p w:rsidR="0021791E" w:rsidP="28C7759B" w:rsidRDefault="00350AC7" w14:paraId="02ED184B" w14:textId="26BE5737">
            <w:pPr>
              <w:pStyle w:val="Normal"/>
              <w:jc w:val="both"/>
            </w:pPr>
            <w:hyperlink r:id="Raf55f35da3614fe5">
              <w:r w:rsidRPr="28C7759B" w:rsidR="28C7759B">
                <w:rPr>
                  <w:rStyle w:val="Hipervnculo"/>
                </w:rPr>
                <w:t>http://www.aduana.cl/aduana/site/edic/base/port/comex.html</w:t>
              </w:r>
            </w:hyperlink>
          </w:p>
        </w:tc>
        <w:tc>
          <w:tcPr>
            <w:tcW w:w="1462" w:type="dxa"/>
            <w:tcMar/>
            <w:vAlign w:val="center"/>
          </w:tcPr>
          <w:p w:rsidR="0021791E" w:rsidP="00350AC7" w:rsidRDefault="00350AC7" w14:paraId="5CC9AB31" w14:textId="07EEF4F2">
            <w:pPr>
              <w:jc w:val="center"/>
            </w:pPr>
            <w:r>
              <w:t>Diciembre 2022</w:t>
            </w:r>
          </w:p>
        </w:tc>
      </w:tr>
    </w:tbl>
    <w:p w:rsidR="0079119D" w:rsidRDefault="0079119D" w14:paraId="4CA55ACB" w14:textId="77777777">
      <w:pPr>
        <w:rPr>
          <w:b/>
        </w:rPr>
      </w:pPr>
    </w:p>
    <w:sectPr w:rsidR="0079119D" w:rsidSect="002C7549">
      <w:headerReference w:type="default" r:id="rId8"/>
      <w:pgSz w:w="12240" w:h="15840" w:orient="portrait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C30" w:rsidRDefault="006B4C30" w14:paraId="2D6AD888" w14:textId="77777777">
      <w:pPr>
        <w:spacing w:after="0" w:line="240" w:lineRule="auto"/>
      </w:pPr>
      <w:r>
        <w:separator/>
      </w:r>
    </w:p>
  </w:endnote>
  <w:endnote w:type="continuationSeparator" w:id="0">
    <w:p w:rsidR="006B4C30" w:rsidRDefault="006B4C30" w14:paraId="14102E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C30" w:rsidRDefault="006B4C30" w14:paraId="15F18455" w14:textId="77777777">
      <w:pPr>
        <w:spacing w:after="0" w:line="240" w:lineRule="auto"/>
      </w:pPr>
      <w:r>
        <w:separator/>
      </w:r>
    </w:p>
  </w:footnote>
  <w:footnote w:type="continuationSeparator" w:id="0">
    <w:p w:rsidR="006B4C30" w:rsidRDefault="006B4C30" w14:paraId="3FE73E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9119D" w:rsidRDefault="009F7EF9" w14:paraId="05D95720" w14:textId="41B8EF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FF44B" wp14:editId="069367C3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12" name="Picture 2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4FC3A46-6614-B54A-8FD8-0B30D5E01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54FC3A46-6614-B54A-8FD8-0B30D5E018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9"/>
                  <a:stretch/>
                </pic:blipFill>
                <pic:spPr bwMode="auto">
                  <a:xfrm>
                    <a:off x="0" y="0"/>
                    <a:ext cx="2197026" cy="8377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 w:rsidR="00FF4A2D">
      <w:rPr>
        <w:noProof/>
        <w:color w:val="000000"/>
      </w:rPr>
      <w:drawing>
        <wp:inline distT="0" distB="0" distL="0" distR="0" wp14:anchorId="356E22A7" wp14:editId="79ADE6E1">
          <wp:extent cx="1332230" cy="828675"/>
          <wp:effectExtent l="0" t="0" r="1270" b="9525"/>
          <wp:docPr id="3" name="image1.png" descr="C:\Users\cmontero\Desktop\nuevo-logo-og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montero\Desktop\nuevo-logo-og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206" cy="829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B8E"/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67D23D6B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9D"/>
    <w:rsid w:val="00063CE2"/>
    <w:rsid w:val="0013400E"/>
    <w:rsid w:val="001F0962"/>
    <w:rsid w:val="0021791E"/>
    <w:rsid w:val="0027469F"/>
    <w:rsid w:val="00296FAC"/>
    <w:rsid w:val="002C7549"/>
    <w:rsid w:val="002E46FB"/>
    <w:rsid w:val="00312C49"/>
    <w:rsid w:val="00312E18"/>
    <w:rsid w:val="0034586F"/>
    <w:rsid w:val="00350AC7"/>
    <w:rsid w:val="003F63E1"/>
    <w:rsid w:val="005607FB"/>
    <w:rsid w:val="0057262C"/>
    <w:rsid w:val="00596E21"/>
    <w:rsid w:val="006429BF"/>
    <w:rsid w:val="006B36F6"/>
    <w:rsid w:val="006B4C30"/>
    <w:rsid w:val="006E4373"/>
    <w:rsid w:val="006F7DCC"/>
    <w:rsid w:val="0079119D"/>
    <w:rsid w:val="007C17CA"/>
    <w:rsid w:val="008053D0"/>
    <w:rsid w:val="00827D66"/>
    <w:rsid w:val="00897FF1"/>
    <w:rsid w:val="00924745"/>
    <w:rsid w:val="00942C45"/>
    <w:rsid w:val="00962BD6"/>
    <w:rsid w:val="009F7EF9"/>
    <w:rsid w:val="00A621CD"/>
    <w:rsid w:val="00A96B4F"/>
    <w:rsid w:val="00AD74CA"/>
    <w:rsid w:val="00B13F49"/>
    <w:rsid w:val="00C179F1"/>
    <w:rsid w:val="00C45FC4"/>
    <w:rsid w:val="00D1742A"/>
    <w:rsid w:val="00D54F90"/>
    <w:rsid w:val="00DE1041"/>
    <w:rsid w:val="00F860EC"/>
    <w:rsid w:val="00F913BB"/>
    <w:rsid w:val="00FF4A2D"/>
    <w:rsid w:val="28C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84618"/>
  <w15:docId w15:val="{D96A194C-65F3-4DBB-8FB5-F77259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hAnsi="Cambria" w:eastAsia="Cambria" w:cs="Cambria"/>
      <w:i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42A"/>
  </w:style>
  <w:style w:type="paragraph" w:styleId="Piedepgina">
    <w:name w:val="footer"/>
    <w:basedOn w:val="Normal"/>
    <w:link w:val="Piedepgina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42A"/>
  </w:style>
  <w:style w:type="paragraph" w:styleId="NormalWeb">
    <w:name w:val="Normal (Web)"/>
    <w:basedOn w:val="Normal"/>
    <w:uiPriority w:val="99"/>
    <w:unhideWhenUsed/>
    <w:rsid w:val="006E43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179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ogp.gob.c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aduana.cl/aduana/site/edic/base/port/estadisticas.html?filtro=20201028125545" TargetMode="External" Id="Rd3810a3447054136" /><Relationship Type="http://schemas.openxmlformats.org/officeDocument/2006/relationships/hyperlink" Target="http://www.aduana.cl/aduana/site/edic/base/port/estadisticas.html?filtro=20181205215213" TargetMode="External" Id="Rc8eba6bc6b174b56" /><Relationship Type="http://schemas.openxmlformats.org/officeDocument/2006/relationships/hyperlink" Target="http://www.aduana.cl/aduana/site/edic/base/port/comex.html" TargetMode="External" Id="Raf55f35da3614f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Natalia Valeria Martínez Salas</dc:creator>
  <lastModifiedBy>Macarena Arancibia Figueroa</lastModifiedBy>
  <revision>23</revision>
  <dcterms:created xsi:type="dcterms:W3CDTF">2022-03-21T13:57:00.0000000Z</dcterms:created>
  <dcterms:modified xsi:type="dcterms:W3CDTF">2022-04-03T15:40:48.7409609Z</dcterms:modified>
</coreProperties>
</file>